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BCB2" w14:textId="77777777" w:rsidR="001D31C8" w:rsidRDefault="001D31C8" w:rsidP="00C842C9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C2A579" w14:textId="77777777" w:rsidR="00EF7494" w:rsidRDefault="00EF7494" w:rsidP="00EF7494">
      <w:pPr>
        <w:pStyle w:val="SOPLevel1"/>
        <w:spacing w:before="120" w:after="120"/>
      </w:pPr>
      <w:r w:rsidRPr="008576AA">
        <w:t>PURPOSE</w:t>
      </w:r>
    </w:p>
    <w:p w14:paraId="7C44284B" w14:textId="6DF01BCD" w:rsidR="00EF7494" w:rsidRDefault="00EF7494" w:rsidP="00CE6639">
      <w:pPr>
        <w:pStyle w:val="SOPLevel2"/>
        <w:tabs>
          <w:tab w:val="clear" w:pos="936"/>
          <w:tab w:val="num" w:pos="1620"/>
        </w:tabs>
        <w:ind w:left="900" w:hanging="540"/>
      </w:pPr>
      <w:r w:rsidRPr="001D31C8">
        <w:t xml:space="preserve">This </w:t>
      </w:r>
      <w:r w:rsidR="002860CE">
        <w:t>policy</w:t>
      </w:r>
      <w:r>
        <w:t xml:space="preserve"> describes the process for the role of the IRB Executive Committee in making a determination when minor</w:t>
      </w:r>
      <w:r w:rsidR="003F7999">
        <w:t>, serious, or continuing</w:t>
      </w:r>
      <w:r>
        <w:t xml:space="preserve"> non-compliance is </w:t>
      </w:r>
      <w:r w:rsidR="00A33B96">
        <w:t>described</w:t>
      </w:r>
      <w:r w:rsidR="00BC42F0">
        <w:t xml:space="preserve"> </w:t>
      </w:r>
      <w:r>
        <w:t>in an audit report</w:t>
      </w:r>
      <w:r w:rsidR="003F7999">
        <w:t>.</w:t>
      </w:r>
    </w:p>
    <w:p w14:paraId="44D88391" w14:textId="77777777" w:rsidR="00EF7494" w:rsidRPr="008576AA" w:rsidRDefault="00EF7494" w:rsidP="00EF7494">
      <w:pPr>
        <w:pStyle w:val="SOPLevel1"/>
        <w:spacing w:before="120" w:after="120"/>
      </w:pPr>
      <w:r w:rsidRPr="008576AA">
        <w:t>REVISIONS FROM PREVIOUS VERSION</w:t>
      </w:r>
    </w:p>
    <w:p w14:paraId="413C37E1" w14:textId="77777777" w:rsidR="00EF7494" w:rsidRDefault="00EF7494" w:rsidP="00CE6639">
      <w:pPr>
        <w:pStyle w:val="SOPLevel2"/>
        <w:ind w:left="900" w:hanging="540"/>
      </w:pPr>
      <w:r>
        <w:t>None</w:t>
      </w:r>
    </w:p>
    <w:p w14:paraId="3E388349" w14:textId="77777777" w:rsidR="00EF7494" w:rsidRDefault="00EF7494" w:rsidP="00EF7494">
      <w:pPr>
        <w:pStyle w:val="SOPLevel1"/>
        <w:spacing w:before="120" w:after="120"/>
      </w:pPr>
      <w:r w:rsidRPr="008576AA">
        <w:t>POLICY</w:t>
      </w:r>
    </w:p>
    <w:p w14:paraId="25000004" w14:textId="00F9ACF3" w:rsidR="00EF7494" w:rsidRDefault="003F7999" w:rsidP="00CE6639">
      <w:pPr>
        <w:pStyle w:val="SOPLevel2"/>
        <w:tabs>
          <w:tab w:val="clear" w:pos="936"/>
          <w:tab w:val="num" w:pos="1440"/>
        </w:tabs>
        <w:ind w:left="900" w:hanging="540"/>
      </w:pPr>
      <w:r>
        <w:t>The</w:t>
      </w:r>
      <w:r w:rsidR="00EF7494" w:rsidRPr="00A47480">
        <w:t xml:space="preserve"> IRB </w:t>
      </w:r>
      <w:r>
        <w:t xml:space="preserve">has the responsibility for assessing findings of noncompliance and for determining when noncompliance is serious and/or continuing and appropriate corrective actions for the protection of human subjects and the ethical and compliant conduct of research. </w:t>
      </w:r>
    </w:p>
    <w:p w14:paraId="7020C158" w14:textId="77777777" w:rsidR="00EF7494" w:rsidRDefault="00EF7494" w:rsidP="00EF7494">
      <w:pPr>
        <w:pStyle w:val="SOPLevel1"/>
        <w:spacing w:before="120" w:after="120"/>
      </w:pPr>
      <w:r>
        <w:t>RESPONSIBILITIES</w:t>
      </w:r>
    </w:p>
    <w:p w14:paraId="33A64DC6" w14:textId="34615B1F" w:rsidR="00EF7494" w:rsidRPr="00F379C5" w:rsidRDefault="003F7999" w:rsidP="00CE6639">
      <w:pPr>
        <w:pStyle w:val="SOPLevel2"/>
        <w:tabs>
          <w:tab w:val="clear" w:pos="936"/>
          <w:tab w:val="num" w:pos="1350"/>
        </w:tabs>
        <w:ind w:left="900" w:hanging="540"/>
        <w:rPr>
          <w:b/>
        </w:rPr>
      </w:pPr>
      <w:r>
        <w:t xml:space="preserve">The </w:t>
      </w:r>
      <w:r w:rsidR="00E506D7">
        <w:t xml:space="preserve">IRB Executive Committee </w:t>
      </w:r>
      <w:r>
        <w:t xml:space="preserve">serves as the Rutgers IRB panel that reviews reports and findings of routine or for-cause audits and allegations of noncompliance for the purpose of determining whether findings meet the definition of </w:t>
      </w:r>
      <w:r w:rsidRPr="00CE6639">
        <w:rPr>
          <w:u w:val="double"/>
        </w:rPr>
        <w:t>Serious Non-Compliance</w:t>
      </w:r>
      <w:r>
        <w:t xml:space="preserve"> or </w:t>
      </w:r>
      <w:r w:rsidRPr="00CE6639">
        <w:rPr>
          <w:u w:val="double"/>
        </w:rPr>
        <w:t>Continuing Non-Compliance</w:t>
      </w:r>
      <w:r>
        <w:t xml:space="preserve"> and for appropriate corrective actions to eliminate or manage such noncompliance.</w:t>
      </w:r>
      <w:r w:rsidR="00EF7494" w:rsidRPr="00F379C5">
        <w:t xml:space="preserve"> </w:t>
      </w:r>
    </w:p>
    <w:p w14:paraId="0E0261B3" w14:textId="77777777" w:rsidR="00EF7494" w:rsidRDefault="00EF7494" w:rsidP="00EF7494">
      <w:pPr>
        <w:pStyle w:val="SOPLevel1"/>
        <w:spacing w:before="120" w:after="120"/>
      </w:pPr>
      <w:r w:rsidRPr="008576AA">
        <w:t>PROCEDURE</w:t>
      </w:r>
    </w:p>
    <w:p w14:paraId="0BC032B0" w14:textId="25B17539" w:rsidR="00702BEA" w:rsidRPr="00702BEA" w:rsidRDefault="00702BEA" w:rsidP="00EF2F7F">
      <w:pPr>
        <w:pStyle w:val="SOPLevel2"/>
        <w:tabs>
          <w:tab w:val="clear" w:pos="936"/>
          <w:tab w:val="num" w:pos="1530"/>
        </w:tabs>
        <w:ind w:left="900" w:hanging="540"/>
        <w:rPr>
          <w:b/>
          <w:u w:val="single"/>
        </w:rPr>
      </w:pPr>
      <w:r>
        <w:t>Response to the audit report by the IRB Executive Committee</w:t>
      </w:r>
    </w:p>
    <w:p w14:paraId="6F283998" w14:textId="77777777" w:rsidR="00702BEA" w:rsidRPr="00C842C9" w:rsidRDefault="00702BEA" w:rsidP="00702BEA">
      <w:pPr>
        <w:pStyle w:val="SOPLevel3"/>
      </w:pPr>
      <w:r w:rsidRPr="00C842C9">
        <w:t>If there were no significant findings</w:t>
      </w:r>
      <w:r>
        <w:t xml:space="preserve">, the routine review is presented and attached </w:t>
      </w:r>
      <w:r w:rsidRPr="00C842C9">
        <w:t>to the IRB Executive Committee agenda to be reviewed and accepted.</w:t>
      </w:r>
    </w:p>
    <w:p w14:paraId="75367C7E" w14:textId="2477FADB" w:rsidR="00702BEA" w:rsidRPr="00C842C9" w:rsidRDefault="00702BEA" w:rsidP="00702BEA">
      <w:pPr>
        <w:pStyle w:val="SOPLevel3"/>
      </w:pPr>
      <w:r>
        <w:t xml:space="preserve">The significant findings of </w:t>
      </w:r>
      <w:r w:rsidRPr="00C842C9">
        <w:t xml:space="preserve">the routine </w:t>
      </w:r>
      <w:r>
        <w:t xml:space="preserve">or for-cause </w:t>
      </w:r>
      <w:r w:rsidRPr="00C842C9">
        <w:t xml:space="preserve">audit report </w:t>
      </w:r>
      <w:r w:rsidR="002860CE">
        <w:t xml:space="preserve">are </w:t>
      </w:r>
      <w:r w:rsidRPr="00C842C9">
        <w:t>placed on the agenda and the HSPP analysts will</w:t>
      </w:r>
      <w:r>
        <w:t xml:space="preserve"> give an oral</w:t>
      </w:r>
      <w:r w:rsidRPr="00C842C9">
        <w:t xml:space="preserve"> present</w:t>
      </w:r>
      <w:r>
        <w:t xml:space="preserve">ation of the findings and cite the areas of </w:t>
      </w:r>
      <w:r w:rsidR="002860CE">
        <w:t>Non</w:t>
      </w:r>
      <w:r>
        <w:t>–</w:t>
      </w:r>
      <w:r w:rsidR="002860CE">
        <w:t xml:space="preserve">Compliance </w:t>
      </w:r>
      <w:r w:rsidRPr="00C842C9">
        <w:t>to the IRB Executive Committee.</w:t>
      </w:r>
    </w:p>
    <w:p w14:paraId="4652ECC7" w14:textId="55301672" w:rsidR="00702BEA" w:rsidRPr="00C842C9" w:rsidRDefault="00702BEA" w:rsidP="00702BEA">
      <w:pPr>
        <w:pStyle w:val="SOPLevel3"/>
      </w:pPr>
      <w:r w:rsidRPr="00C842C9">
        <w:t xml:space="preserve">No formal written response will be required if the audit </w:t>
      </w:r>
      <w:r>
        <w:t>findings are</w:t>
      </w:r>
      <w:r w:rsidRPr="00C842C9">
        <w:t xml:space="preserve"> deemed “accepted with no further action” by the IRB Executive Committee.</w:t>
      </w:r>
    </w:p>
    <w:p w14:paraId="765263A2" w14:textId="2C0F6FF8" w:rsidR="00702BEA" w:rsidRPr="00C842C9" w:rsidRDefault="00702BEA" w:rsidP="00702BEA">
      <w:pPr>
        <w:pStyle w:val="SOPLevel3"/>
      </w:pPr>
      <w:r w:rsidRPr="00C842C9">
        <w:t xml:space="preserve">However, a formal written response </w:t>
      </w:r>
      <w:r>
        <w:t>from</w:t>
      </w:r>
      <w:r w:rsidRPr="00C842C9">
        <w:t xml:space="preserve"> the Principal Investigator </w:t>
      </w:r>
      <w:r w:rsidR="00EF2F7F">
        <w:t xml:space="preserve">(PI) </w:t>
      </w:r>
      <w:r w:rsidRPr="00C842C9">
        <w:t>is required if the audited protocol requires a corrective action plan or clarification by the IRB Executive Committee.</w:t>
      </w:r>
    </w:p>
    <w:p w14:paraId="51C539C8" w14:textId="5AD9E174" w:rsidR="00702BEA" w:rsidRDefault="00702BEA" w:rsidP="00702BEA">
      <w:pPr>
        <w:pStyle w:val="SOPLevel3"/>
      </w:pPr>
      <w:r w:rsidRPr="00C842C9">
        <w:t>T</w:t>
      </w:r>
      <w:r>
        <w:t xml:space="preserve">he IRB Executive Committee </w:t>
      </w:r>
      <w:r w:rsidRPr="00C842C9">
        <w:t>has the opportunity at this point to take immediate action</w:t>
      </w:r>
      <w:r w:rsidR="00A33B96">
        <w:t>.</w:t>
      </w:r>
      <w:r w:rsidRPr="00C842C9">
        <w:t xml:space="preserve"> </w:t>
      </w:r>
      <w:r w:rsidR="00A33B96">
        <w:t xml:space="preserve">This </w:t>
      </w:r>
      <w:r w:rsidRPr="00C842C9">
        <w:t>includ</w:t>
      </w:r>
      <w:r w:rsidR="00A33B96">
        <w:t>es, but is not limited to,</w:t>
      </w:r>
      <w:r w:rsidRPr="00C842C9">
        <w:t xml:space="preserve"> suspension of the protocol and/or recommendation of closure to the IRB</w:t>
      </w:r>
      <w:r w:rsidR="00A33B96">
        <w:t>, among other actions</w:t>
      </w:r>
      <w:r w:rsidRPr="00C842C9">
        <w:t xml:space="preserve">. </w:t>
      </w:r>
    </w:p>
    <w:p w14:paraId="16469848" w14:textId="0E7D6CE3" w:rsidR="00702BEA" w:rsidRDefault="00702BEA" w:rsidP="00702BEA">
      <w:pPr>
        <w:pStyle w:val="SOPLevel3"/>
      </w:pPr>
      <w:bookmarkStart w:id="0" w:name="_Hlk67837413"/>
      <w:r w:rsidRPr="00C842C9">
        <w:t>Immediate action by the Executive Director</w:t>
      </w:r>
      <w:r w:rsidR="00EF2F7F">
        <w:t>,</w:t>
      </w:r>
      <w:r w:rsidR="00CE6639">
        <w:t xml:space="preserve"> </w:t>
      </w:r>
      <w:r w:rsidR="00EF2F7F">
        <w:t>HSPP</w:t>
      </w:r>
      <w:r w:rsidRPr="00C842C9">
        <w:t xml:space="preserve"> and notification of the Institutional Official would take place in the event of suspected subject safety risks, possible research misconduct, or an extremely deficient audit.</w:t>
      </w:r>
    </w:p>
    <w:p w14:paraId="2847ACD3" w14:textId="07175B2A" w:rsidR="00EF2F7F" w:rsidRPr="00201D02" w:rsidRDefault="00EF2F7F" w:rsidP="00CE6639">
      <w:pPr>
        <w:pStyle w:val="SOPLevel1"/>
        <w:numPr>
          <w:ilvl w:val="0"/>
          <w:numId w:val="0"/>
        </w:numPr>
        <w:ind w:left="900" w:hanging="540"/>
        <w:rPr>
          <w:rFonts w:eastAsiaTheme="minorHAnsi"/>
          <w:b w:val="0"/>
          <w:bCs/>
        </w:rPr>
      </w:pPr>
      <w:r>
        <w:rPr>
          <w:rFonts w:eastAsiaTheme="minorHAnsi"/>
          <w:b w:val="0"/>
          <w:bCs/>
        </w:rPr>
        <w:t>5.2</w:t>
      </w:r>
      <w:r>
        <w:rPr>
          <w:rFonts w:eastAsiaTheme="minorHAnsi"/>
          <w:b w:val="0"/>
          <w:bCs/>
        </w:rPr>
        <w:tab/>
      </w:r>
      <w:r w:rsidRPr="00201D02">
        <w:rPr>
          <w:rFonts w:eastAsiaTheme="minorHAnsi"/>
          <w:b w:val="0"/>
          <w:bCs/>
        </w:rPr>
        <w:t xml:space="preserve">The IRB will make one of the following determinations: </w:t>
      </w:r>
    </w:p>
    <w:p w14:paraId="60BDEB33" w14:textId="66D19EE6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rFonts w:eastAsiaTheme="minorHAnsi"/>
          <w:b w:val="0"/>
          <w:bCs/>
        </w:rPr>
      </w:pPr>
      <w:r>
        <w:rPr>
          <w:rFonts w:eastAsiaTheme="minorHAnsi"/>
          <w:b w:val="0"/>
          <w:bCs/>
        </w:rPr>
        <w:t>5.</w:t>
      </w:r>
      <w:r w:rsidR="00EF2F7F" w:rsidRPr="00201D02">
        <w:rPr>
          <w:rFonts w:eastAsiaTheme="minorHAnsi"/>
          <w:b w:val="0"/>
          <w:bCs/>
        </w:rPr>
        <w:t xml:space="preserve">2.1 </w:t>
      </w:r>
      <w:r w:rsidR="00EF2F7F" w:rsidRPr="00201D02">
        <w:rPr>
          <w:rFonts w:eastAsiaTheme="minorHAnsi"/>
          <w:b w:val="0"/>
          <w:bCs/>
        </w:rPr>
        <w:tab/>
        <w:t>There is no noncompliance</w:t>
      </w:r>
      <w:r>
        <w:rPr>
          <w:rFonts w:eastAsiaTheme="minorHAnsi"/>
          <w:b w:val="0"/>
          <w:bCs/>
        </w:rPr>
        <w:t>,</w:t>
      </w:r>
    </w:p>
    <w:p w14:paraId="70F4E77B" w14:textId="62508F8C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rFonts w:eastAsiaTheme="minorHAnsi"/>
          <w:b w:val="0"/>
          <w:bCs/>
        </w:rPr>
      </w:pPr>
      <w:r>
        <w:rPr>
          <w:rFonts w:eastAsiaTheme="minorHAnsi"/>
          <w:b w:val="0"/>
          <w:bCs/>
        </w:rPr>
        <w:t>5.</w:t>
      </w:r>
      <w:r w:rsidR="00EF2F7F" w:rsidRPr="00201D02">
        <w:rPr>
          <w:rFonts w:eastAsiaTheme="minorHAnsi"/>
          <w:b w:val="0"/>
          <w:bCs/>
        </w:rPr>
        <w:t xml:space="preserve">2.2 </w:t>
      </w:r>
      <w:r w:rsidR="00EF2F7F" w:rsidRPr="00201D02">
        <w:rPr>
          <w:rFonts w:eastAsiaTheme="minorHAnsi"/>
          <w:b w:val="0"/>
          <w:bCs/>
        </w:rPr>
        <w:tab/>
        <w:t>The noncompliance is minor</w:t>
      </w:r>
      <w:r>
        <w:rPr>
          <w:rFonts w:eastAsiaTheme="minorHAnsi"/>
          <w:b w:val="0"/>
          <w:bCs/>
        </w:rPr>
        <w:t>,</w:t>
      </w:r>
      <w:r w:rsidR="00EF2F7F" w:rsidRPr="00201D02">
        <w:rPr>
          <w:rFonts w:eastAsiaTheme="minorHAnsi"/>
          <w:b w:val="0"/>
          <w:bCs/>
        </w:rPr>
        <w:t xml:space="preserve"> or</w:t>
      </w:r>
    </w:p>
    <w:p w14:paraId="7E613F5C" w14:textId="67F7E85C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rFonts w:eastAsiaTheme="minorHAnsi"/>
          <w:b w:val="0"/>
          <w:bCs/>
        </w:rPr>
        <w:t>5.</w:t>
      </w:r>
      <w:r w:rsidR="00EF2F7F" w:rsidRPr="00201D02">
        <w:rPr>
          <w:rFonts w:eastAsiaTheme="minorHAnsi"/>
          <w:b w:val="0"/>
          <w:bCs/>
        </w:rPr>
        <w:t>2.3</w:t>
      </w:r>
      <w:r w:rsidR="00EF2F7F" w:rsidRPr="00201D02">
        <w:rPr>
          <w:rFonts w:eastAsiaTheme="minorHAnsi"/>
          <w:b w:val="0"/>
          <w:bCs/>
        </w:rPr>
        <w:tab/>
        <w:t>The noncompliance is serious and/or continuing.</w:t>
      </w:r>
    </w:p>
    <w:p w14:paraId="73C898FD" w14:textId="55196EFC" w:rsidR="00EF2F7F" w:rsidRPr="00201D02" w:rsidRDefault="009606DB" w:rsidP="00CE6639">
      <w:pPr>
        <w:pStyle w:val="SOPLevel1"/>
        <w:numPr>
          <w:ilvl w:val="0"/>
          <w:numId w:val="0"/>
        </w:numPr>
        <w:ind w:left="900" w:hanging="540"/>
        <w:rPr>
          <w:b w:val="0"/>
          <w:bCs/>
        </w:rPr>
      </w:pPr>
      <w:r>
        <w:rPr>
          <w:b w:val="0"/>
          <w:bCs/>
          <w:color w:val="000000"/>
        </w:rPr>
        <w:t>5.</w:t>
      </w:r>
      <w:r w:rsidR="00EF2F7F" w:rsidRPr="00201D02">
        <w:rPr>
          <w:b w:val="0"/>
          <w:bCs/>
          <w:color w:val="000000"/>
        </w:rPr>
        <w:t>3</w:t>
      </w:r>
      <w:r w:rsidR="00EF2F7F" w:rsidRPr="00201D02">
        <w:rPr>
          <w:b w:val="0"/>
          <w:bCs/>
          <w:color w:val="000000"/>
        </w:rPr>
        <w:tab/>
      </w:r>
      <w:r w:rsidR="00EF2F7F" w:rsidRPr="00201D02">
        <w:rPr>
          <w:b w:val="0"/>
          <w:bCs/>
        </w:rPr>
        <w:t>Possible board actions for noncompliance includes, but limited to:</w:t>
      </w:r>
    </w:p>
    <w:p w14:paraId="71A229C1" w14:textId="3B86191B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  <w:color w:val="000000"/>
        </w:rPr>
        <w:t>5.</w:t>
      </w:r>
      <w:r w:rsidR="00EF2F7F" w:rsidRPr="00201D02">
        <w:rPr>
          <w:b w:val="0"/>
          <w:bCs/>
          <w:color w:val="000000"/>
        </w:rPr>
        <w:t xml:space="preserve">3.1 </w:t>
      </w:r>
      <w:r w:rsidR="00EF2F7F" w:rsidRPr="00201D02">
        <w:rPr>
          <w:b w:val="0"/>
          <w:bCs/>
          <w:color w:val="000000"/>
        </w:rPr>
        <w:tab/>
        <w:t xml:space="preserve">Place an </w:t>
      </w:r>
      <w:r w:rsidR="00EF2F7F" w:rsidRPr="00201D02">
        <w:rPr>
          <w:b w:val="0"/>
          <w:bCs/>
        </w:rPr>
        <w:t>administrative Hold on the research;</w:t>
      </w:r>
    </w:p>
    <w:p w14:paraId="7528B716" w14:textId="555ECB7A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  <w:color w:val="000000"/>
        </w:rPr>
      </w:pPr>
      <w:r>
        <w:rPr>
          <w:b w:val="0"/>
          <w:bCs/>
          <w:color w:val="000000"/>
        </w:rPr>
        <w:t>5.</w:t>
      </w:r>
      <w:r w:rsidR="00EF2F7F" w:rsidRPr="00201D02">
        <w:rPr>
          <w:b w:val="0"/>
          <w:bCs/>
          <w:color w:val="000000"/>
        </w:rPr>
        <w:t xml:space="preserve">3.2 </w:t>
      </w:r>
      <w:r w:rsidR="00EF2F7F" w:rsidRPr="00201D02">
        <w:rPr>
          <w:b w:val="0"/>
          <w:bCs/>
          <w:color w:val="000000"/>
        </w:rPr>
        <w:tab/>
      </w:r>
      <w:r w:rsidR="00EF2F7F" w:rsidRPr="00201D02">
        <w:rPr>
          <w:b w:val="0"/>
          <w:bCs/>
        </w:rPr>
        <w:t>Initiate audits of all or some of the investigator's active protocols;</w:t>
      </w:r>
    </w:p>
    <w:p w14:paraId="3604CF70" w14:textId="0DFCA516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3.3 </w:t>
      </w:r>
      <w:r w:rsidR="00EF2F7F" w:rsidRPr="00201D02">
        <w:rPr>
          <w:b w:val="0"/>
          <w:bCs/>
        </w:rPr>
        <w:tab/>
        <w:t>Suspend any or all components of the research (i.e., new enrollment, treatment, follow-up and data analysis) until a Corrective Action /Prevention Plan (CAPA) can be developed and implemented or until additional review can occur;</w:t>
      </w:r>
      <w:r w:rsidR="00EF2F7F" w:rsidRPr="00201D02">
        <w:rPr>
          <w:b w:val="0"/>
          <w:bCs/>
        </w:rPr>
        <w:tab/>
        <w:t xml:space="preserve">       </w:t>
      </w:r>
    </w:p>
    <w:p w14:paraId="7196CCAF" w14:textId="6BB7C01C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lastRenderedPageBreak/>
        <w:t>5.</w:t>
      </w:r>
      <w:r w:rsidR="00EF2F7F" w:rsidRPr="00201D02">
        <w:rPr>
          <w:b w:val="0"/>
          <w:bCs/>
        </w:rPr>
        <w:t xml:space="preserve">3.4 </w:t>
      </w:r>
      <w:r w:rsidR="00EF2F7F" w:rsidRPr="00201D02">
        <w:rPr>
          <w:b w:val="0"/>
          <w:bCs/>
        </w:rPr>
        <w:tab/>
        <w:t>Require that the PI modify the protocol to minimize risk;</w:t>
      </w:r>
    </w:p>
    <w:p w14:paraId="41373CFA" w14:textId="58907520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3.5 </w:t>
      </w:r>
      <w:r w:rsidR="00EF2F7F" w:rsidRPr="00201D02">
        <w:rPr>
          <w:b w:val="0"/>
          <w:bCs/>
        </w:rPr>
        <w:tab/>
        <w:t xml:space="preserve">Require the interval at which continuing review is conducted to be modified to less than one year as appropriate to the degree of risk; </w:t>
      </w:r>
    </w:p>
    <w:p w14:paraId="7F2B0FC5" w14:textId="0A3150A3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3.6 </w:t>
      </w:r>
      <w:r w:rsidR="00EF2F7F" w:rsidRPr="00201D02">
        <w:rPr>
          <w:b w:val="0"/>
          <w:bCs/>
        </w:rPr>
        <w:tab/>
        <w:t>Require that the PI modify the informed consent;</w:t>
      </w:r>
    </w:p>
    <w:p w14:paraId="3208E750" w14:textId="15B84A9E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3.7 </w:t>
      </w:r>
      <w:r w:rsidR="00EF2F7F" w:rsidRPr="00201D02">
        <w:rPr>
          <w:b w:val="0"/>
          <w:bCs/>
        </w:rPr>
        <w:tab/>
        <w:t>Require observation of the research or the consent process and modify the information disclosed during the consent process;</w:t>
      </w:r>
    </w:p>
    <w:p w14:paraId="1A9EAD86" w14:textId="33719516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3.8 </w:t>
      </w:r>
      <w:r w:rsidR="00EF2F7F" w:rsidRPr="00201D02">
        <w:rPr>
          <w:b w:val="0"/>
          <w:bCs/>
        </w:rPr>
        <w:tab/>
        <w:t>Require notification of current and previously enrolled subjects of new information that may relate to a subject’s willingness to continue participation in the research;</w:t>
      </w:r>
    </w:p>
    <w:p w14:paraId="5473AFC4" w14:textId="3E8958A1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3.9 </w:t>
      </w:r>
      <w:r w:rsidR="00EF2F7F" w:rsidRPr="00201D02">
        <w:rPr>
          <w:b w:val="0"/>
          <w:bCs/>
        </w:rPr>
        <w:tab/>
        <w:t>Require submission of status reports on a defined set schedule to the IRB;</w:t>
      </w:r>
    </w:p>
    <w:p w14:paraId="752AD3FB" w14:textId="1DFC2079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3.10 </w:t>
      </w:r>
      <w:r w:rsidR="00EF2F7F" w:rsidRPr="00201D02">
        <w:rPr>
          <w:b w:val="0"/>
          <w:bCs/>
        </w:rPr>
        <w:tab/>
        <w:t>Require additional education and training for the investigators and support staff;</w:t>
      </w:r>
    </w:p>
    <w:p w14:paraId="071345F7" w14:textId="19138306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3.11 </w:t>
      </w:r>
      <w:r w:rsidR="00EF2F7F" w:rsidRPr="00201D02">
        <w:rPr>
          <w:b w:val="0"/>
          <w:bCs/>
        </w:rPr>
        <w:tab/>
        <w:t>Accept and approve the PI’s proposed Corrective Action/Prevention Plan (CAPA) or changes;</w:t>
      </w:r>
    </w:p>
    <w:p w14:paraId="096FB8ED" w14:textId="492BAAD3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3.12 </w:t>
      </w:r>
      <w:r w:rsidR="00EF2F7F" w:rsidRPr="00201D02">
        <w:rPr>
          <w:b w:val="0"/>
          <w:bCs/>
        </w:rPr>
        <w:tab/>
        <w:t>Require a directed for-cause investigation by an outside consultant;</w:t>
      </w:r>
    </w:p>
    <w:p w14:paraId="1E160550" w14:textId="1888D4F8" w:rsidR="00EF2F7F" w:rsidRPr="00201D02" w:rsidRDefault="009606DB" w:rsidP="00CE6639">
      <w:pPr>
        <w:pStyle w:val="SOPLevel1"/>
        <w:numPr>
          <w:ilvl w:val="0"/>
          <w:numId w:val="0"/>
        </w:numPr>
        <w:ind w:left="1710" w:hanging="810"/>
        <w:rPr>
          <w:b w:val="0"/>
          <w:bCs/>
        </w:rPr>
      </w:pPr>
      <w:r>
        <w:rPr>
          <w:b w:val="0"/>
          <w:bCs/>
        </w:rPr>
        <w:t>5.</w:t>
      </w:r>
      <w:r w:rsidR="00EF2F7F" w:rsidRPr="00201D02">
        <w:rPr>
          <w:b w:val="0"/>
          <w:bCs/>
        </w:rPr>
        <w:t xml:space="preserve">3.13 </w:t>
      </w:r>
      <w:r w:rsidR="00EF2F7F" w:rsidRPr="00201D02">
        <w:rPr>
          <w:b w:val="0"/>
          <w:bCs/>
        </w:rPr>
        <w:tab/>
        <w:t>Terminate the research.</w:t>
      </w:r>
    </w:p>
    <w:p w14:paraId="77DBFEE2" w14:textId="3A3125ED" w:rsidR="006F0828" w:rsidRDefault="009606DB" w:rsidP="00CE6639">
      <w:pPr>
        <w:pStyle w:val="SOPLevel2"/>
        <w:numPr>
          <w:ilvl w:val="0"/>
          <w:numId w:val="0"/>
        </w:numPr>
        <w:ind w:left="900" w:hanging="540"/>
      </w:pPr>
      <w:r>
        <w:rPr>
          <w:bCs/>
        </w:rPr>
        <w:t>5.4</w:t>
      </w:r>
      <w:r>
        <w:rPr>
          <w:bCs/>
        </w:rPr>
        <w:tab/>
      </w:r>
      <w:r w:rsidR="00EF2F7F" w:rsidRPr="00201D02">
        <w:rPr>
          <w:bCs/>
        </w:rPr>
        <w:t>IRB discussion, action(s), the final determination</w:t>
      </w:r>
      <w:r>
        <w:rPr>
          <w:bCs/>
        </w:rPr>
        <w:t>,</w:t>
      </w:r>
      <w:r w:rsidR="00EF2F7F" w:rsidRPr="00201D02">
        <w:rPr>
          <w:bCs/>
        </w:rPr>
        <w:t xml:space="preserve"> and vote will be documented in the meeting minutes.</w:t>
      </w:r>
    </w:p>
    <w:p w14:paraId="2853180F" w14:textId="1FE67B10" w:rsidR="006F0828" w:rsidRPr="007F7C36" w:rsidRDefault="009606DB" w:rsidP="00CE6639">
      <w:pPr>
        <w:pStyle w:val="SOPLevel2"/>
        <w:numPr>
          <w:ilvl w:val="0"/>
          <w:numId w:val="0"/>
        </w:numPr>
        <w:ind w:left="900" w:hanging="540"/>
      </w:pPr>
      <w:r>
        <w:t>5.5</w:t>
      </w:r>
      <w:r>
        <w:tab/>
      </w:r>
      <w:r w:rsidR="006F0828" w:rsidRPr="007F7C36">
        <w:t>If the P</w:t>
      </w:r>
      <w:r w:rsidR="00EF2F7F">
        <w:t>I</w:t>
      </w:r>
      <w:r w:rsidR="006F0828" w:rsidRPr="007F7C36">
        <w:t xml:space="preserve"> and/or Designee does not develop a suitable corrective action plan for the </w:t>
      </w:r>
      <w:r w:rsidR="006F0828" w:rsidRPr="00CE6639">
        <w:rPr>
          <w:u w:val="double"/>
        </w:rPr>
        <w:t>Non-Compliance</w:t>
      </w:r>
      <w:r w:rsidR="006F0828" w:rsidRPr="00CE6639">
        <w:t>,</w:t>
      </w:r>
      <w:r w:rsidRPr="00CE6639">
        <w:t xml:space="preserve"> </w:t>
      </w:r>
      <w:r w:rsidR="006F0828" w:rsidRPr="009606DB">
        <w:t xml:space="preserve">the </w:t>
      </w:r>
      <w:r w:rsidRPr="00CE6639">
        <w:t xml:space="preserve">IRB </w:t>
      </w:r>
      <w:r w:rsidR="006F0828" w:rsidRPr="009606DB">
        <w:t>Executive Committee and/or the IRB of record will require an appropriate corrective action plan</w:t>
      </w:r>
      <w:r w:rsidR="006F0828" w:rsidRPr="007F7C36">
        <w:t>.</w:t>
      </w:r>
    </w:p>
    <w:bookmarkEnd w:id="0"/>
    <w:p w14:paraId="613D8A15" w14:textId="77777777" w:rsidR="00EF7494" w:rsidRDefault="00EF7494" w:rsidP="00EF7494">
      <w:pPr>
        <w:pStyle w:val="SOPLevel1"/>
        <w:spacing w:before="120" w:after="120"/>
      </w:pPr>
      <w:r w:rsidRPr="008D531C">
        <w:t>MATERIALS</w:t>
      </w:r>
    </w:p>
    <w:p w14:paraId="34284E32" w14:textId="77777777" w:rsidR="00DD11F9" w:rsidRDefault="00CE6639" w:rsidP="00CE6639">
      <w:pPr>
        <w:pStyle w:val="SOPLevel2"/>
      </w:pPr>
      <w:r>
        <w:t xml:space="preserve">HRP-024- SOP - </w:t>
      </w:r>
      <w:r w:rsidR="00DD11F9">
        <w:t>Reportable New Information</w:t>
      </w:r>
      <w:r w:rsidR="00DD11F9">
        <w:t xml:space="preserve"> </w:t>
      </w:r>
    </w:p>
    <w:p w14:paraId="2251A51A" w14:textId="56EF449E" w:rsidR="00CE6639" w:rsidRDefault="00CE6639" w:rsidP="00CE6639">
      <w:pPr>
        <w:pStyle w:val="SOPLevel2"/>
      </w:pPr>
      <w:bookmarkStart w:id="1" w:name="_GoBack"/>
      <w:bookmarkEnd w:id="1"/>
      <w:r>
        <w:t>HRP-026 - SOP - Suspension or Termination Issued Outside of Convened IRB</w:t>
      </w:r>
    </w:p>
    <w:p w14:paraId="313797DC" w14:textId="77777777" w:rsidR="00CE6639" w:rsidRPr="00563DC6" w:rsidRDefault="00CE6639" w:rsidP="00CE6639">
      <w:pPr>
        <w:pStyle w:val="SOPLevel2"/>
        <w:rPr>
          <w:b/>
          <w:bCs/>
        </w:rPr>
      </w:pPr>
      <w:r>
        <w:t>HRP-101 - SOP - Human Research Protection Program Plan</w:t>
      </w:r>
    </w:p>
    <w:p w14:paraId="3CC99C5A" w14:textId="77777777" w:rsidR="00CE6639" w:rsidRDefault="00CE6639" w:rsidP="00CE6639">
      <w:pPr>
        <w:pStyle w:val="SOPLevel2"/>
        <w:rPr>
          <w:rFonts w:asciiTheme="minorHAnsi" w:eastAsiaTheme="minorEastAsia" w:hAnsiTheme="minorHAnsi" w:cstheme="minorBidi"/>
        </w:rPr>
      </w:pPr>
      <w:r>
        <w:t>HRP-430a - CHECKLIST - Investigator Quality Improvement Assessment - Drug, Devices, Clinical Trial</w:t>
      </w:r>
    </w:p>
    <w:p w14:paraId="1D8002D6" w14:textId="77777777" w:rsidR="00CE6639" w:rsidRDefault="00CE6639" w:rsidP="00CE6639">
      <w:pPr>
        <w:pStyle w:val="SOPLevel2"/>
        <w:rPr>
          <w:rFonts w:asciiTheme="minorHAnsi" w:eastAsiaTheme="minorEastAsia" w:hAnsiTheme="minorHAnsi" w:cstheme="minorBidi"/>
        </w:rPr>
      </w:pPr>
      <w:r>
        <w:t>HRP-430b - CHECKLIST - Investigator Quality Improvement Assessment - Participant File</w:t>
      </w:r>
    </w:p>
    <w:p w14:paraId="52F992EC" w14:textId="77777777" w:rsidR="00CE6639" w:rsidRDefault="00CE6639" w:rsidP="00CE6639">
      <w:pPr>
        <w:pStyle w:val="SOPLevel2"/>
        <w:rPr>
          <w:rFonts w:asciiTheme="minorHAnsi" w:eastAsiaTheme="minorEastAsia" w:hAnsiTheme="minorHAnsi" w:cstheme="minorBidi"/>
        </w:rPr>
      </w:pPr>
      <w:r>
        <w:t>HRP-430c - CHECKLIST - Investigator Quality Improvement Assessment - Biomedical Research</w:t>
      </w:r>
    </w:p>
    <w:p w14:paraId="4B865701" w14:textId="77777777" w:rsidR="00CE6639" w:rsidRDefault="00CE6639" w:rsidP="00CE6639">
      <w:pPr>
        <w:pStyle w:val="SOPLevel2"/>
        <w:rPr>
          <w:rFonts w:asciiTheme="minorHAnsi" w:eastAsiaTheme="minorEastAsia" w:hAnsiTheme="minorHAnsi" w:cstheme="minorBidi"/>
        </w:rPr>
      </w:pPr>
      <w:r>
        <w:t>HRP-430d - CHECKLIST - Investigator Quality Improvement Assessment - Social Behavioral Research</w:t>
      </w:r>
    </w:p>
    <w:p w14:paraId="7BC49115" w14:textId="77777777" w:rsidR="00CE6639" w:rsidRDefault="00CE6639" w:rsidP="00CE6639">
      <w:pPr>
        <w:pStyle w:val="SOPLevel2"/>
        <w:rPr>
          <w:rFonts w:asciiTheme="minorHAnsi" w:eastAsiaTheme="minorEastAsia" w:hAnsiTheme="minorHAnsi" w:cstheme="minorBidi"/>
        </w:rPr>
      </w:pPr>
      <w:r>
        <w:t>HRP-430e - CHECKLIST - Investigator Quality Improvement Assessment - Humanitarian Use Device</w:t>
      </w:r>
    </w:p>
    <w:p w14:paraId="126E170E" w14:textId="77777777" w:rsidR="00EF7494" w:rsidRPr="008D531C" w:rsidRDefault="00EF7494" w:rsidP="00EF7494">
      <w:pPr>
        <w:pStyle w:val="SOPLevel1"/>
        <w:spacing w:before="120" w:after="120"/>
      </w:pPr>
      <w:r w:rsidRPr="008D531C">
        <w:t>REFERENCES</w:t>
      </w:r>
    </w:p>
    <w:p w14:paraId="64E9FA18" w14:textId="088AFDAB" w:rsidR="008A31A4" w:rsidRPr="00CE6639" w:rsidRDefault="00CE6639" w:rsidP="00702BEA">
      <w:pPr>
        <w:pStyle w:val="SOPLevel2"/>
      </w:pPr>
      <w:r w:rsidRPr="00CE6639">
        <w:t>None</w:t>
      </w:r>
    </w:p>
    <w:p w14:paraId="616536E2" w14:textId="16920823" w:rsidR="008A31A4" w:rsidRDefault="008A31A4" w:rsidP="00A47480">
      <w:pPr>
        <w:spacing w:before="120" w:after="120"/>
        <w:rPr>
          <w:rFonts w:cstheme="minorHAnsi"/>
          <w:i/>
          <w:color w:val="000000"/>
        </w:rPr>
      </w:pPr>
    </w:p>
    <w:p w14:paraId="42C298B9" w14:textId="77777777" w:rsidR="008A31A4" w:rsidRPr="008A31A4" w:rsidRDefault="008A31A4" w:rsidP="00A47480">
      <w:pPr>
        <w:spacing w:before="120" w:after="120"/>
      </w:pPr>
    </w:p>
    <w:sectPr w:rsidR="008A31A4" w:rsidRPr="008A31A4" w:rsidSect="00766EFD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D6ED4" w16cid:durableId="240B1E35"/>
  <w16cid:commentId w16cid:paraId="479FDD47" w16cid:durableId="2460E1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F14E" w14:textId="77777777" w:rsidR="009E00A8" w:rsidRDefault="009E00A8">
      <w:pPr>
        <w:spacing w:after="0" w:line="240" w:lineRule="auto"/>
      </w:pPr>
      <w:r>
        <w:separator/>
      </w:r>
    </w:p>
  </w:endnote>
  <w:endnote w:type="continuationSeparator" w:id="0">
    <w:p w14:paraId="192F7A06" w14:textId="77777777" w:rsidR="009E00A8" w:rsidRDefault="009E00A8">
      <w:pPr>
        <w:spacing w:after="0" w:line="240" w:lineRule="auto"/>
      </w:pPr>
      <w:r>
        <w:continuationSeparator/>
      </w:r>
    </w:p>
  </w:endnote>
  <w:endnote w:type="continuationNotice" w:id="1">
    <w:p w14:paraId="4FBA7FF5" w14:textId="77777777" w:rsidR="009E00A8" w:rsidRDefault="009E0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3241" w14:textId="77777777" w:rsidR="009E00A8" w:rsidRDefault="009E00A8">
      <w:pPr>
        <w:spacing w:after="0" w:line="240" w:lineRule="auto"/>
      </w:pPr>
      <w:r>
        <w:separator/>
      </w:r>
    </w:p>
  </w:footnote>
  <w:footnote w:type="continuationSeparator" w:id="0">
    <w:p w14:paraId="14331D1D" w14:textId="77777777" w:rsidR="009E00A8" w:rsidRDefault="009E00A8">
      <w:pPr>
        <w:spacing w:after="0" w:line="240" w:lineRule="auto"/>
      </w:pPr>
      <w:r>
        <w:continuationSeparator/>
      </w:r>
    </w:p>
  </w:footnote>
  <w:footnote w:type="continuationNotice" w:id="1">
    <w:p w14:paraId="32F06D01" w14:textId="77777777" w:rsidR="009E00A8" w:rsidRDefault="009E0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1044D9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71935D4C" w:rsidR="00D0626D" w:rsidRDefault="009606DB" w:rsidP="00A754CF">
          <w:pPr>
            <w:spacing w:after="0"/>
          </w:pPr>
          <w:bookmarkStart w:id="2" w:name="_Hlk532592326"/>
          <w:bookmarkStart w:id="3" w:name="_Hlk532591909"/>
          <w:r>
            <w:t xml:space="preserve"> </w:t>
          </w:r>
          <w:r w:rsidR="369D0DDC">
            <w:rPr>
              <w:noProof/>
            </w:rPr>
            <w:drawing>
              <wp:inline distT="0" distB="0" distL="0" distR="0" wp14:anchorId="35663CF8" wp14:editId="2F115553">
                <wp:extent cx="1579401" cy="619125"/>
                <wp:effectExtent l="0" t="0" r="0" b="0"/>
                <wp:docPr id="145734436" name="Picture 1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3CDA826D" w:rsidR="00D0626D" w:rsidRPr="00EB1190" w:rsidRDefault="00D0626D" w:rsidP="00604424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="001044D9">
            <w:t xml:space="preserve"> </w:t>
          </w:r>
          <w:r w:rsidR="00C842C9">
            <w:t xml:space="preserve">Role of the Executive Committee </w:t>
          </w:r>
          <w:r w:rsidR="00A24BBD">
            <w:t>f</w:t>
          </w:r>
          <w:r w:rsidR="00C842C9">
            <w:t>o</w:t>
          </w:r>
          <w:r w:rsidR="00A24BBD">
            <w:t>r Review of</w:t>
          </w:r>
          <w:r w:rsidR="00604424">
            <w:t xml:space="preserve"> Audit</w:t>
          </w:r>
          <w:r w:rsidR="00C842C9">
            <w:t xml:space="preserve"> Report</w:t>
          </w:r>
          <w:r w:rsidR="00A24BBD">
            <w:t>s</w:t>
          </w:r>
        </w:p>
      </w:tc>
    </w:tr>
    <w:bookmarkEnd w:id="2"/>
    <w:tr w:rsidR="00AA5D3B" w:rsidRPr="00EB1190" w14:paraId="2C0ED3AF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36333EBA" w:rsidR="00AA5D3B" w:rsidRPr="0057043C" w:rsidRDefault="009F2B01" w:rsidP="00D0626D">
          <w:pPr>
            <w:pStyle w:val="SOPTableEntry"/>
          </w:pPr>
          <w:r>
            <w:t>HRP-025e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5F09FDDE" w:rsidR="00AA5D3B" w:rsidRPr="0057043C" w:rsidRDefault="00F17925" w:rsidP="00D0626D">
          <w:pPr>
            <w:pStyle w:val="SOPTableEntry"/>
          </w:pPr>
          <w:r>
            <w:t>03/22/21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09FC717D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DD11F9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D11F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3"/>
  </w:tbl>
  <w:p w14:paraId="73769870" w14:textId="77777777" w:rsidR="003221D5" w:rsidRPr="007A2BC4" w:rsidRDefault="00DD11F9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49D"/>
    <w:multiLevelType w:val="multilevel"/>
    <w:tmpl w:val="049C32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9E36A65"/>
    <w:multiLevelType w:val="hybridMultilevel"/>
    <w:tmpl w:val="6B3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7117"/>
    <w:multiLevelType w:val="hybridMultilevel"/>
    <w:tmpl w:val="912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81C7C"/>
    <w:rsid w:val="000A0437"/>
    <w:rsid w:val="000B661E"/>
    <w:rsid w:val="000D1E38"/>
    <w:rsid w:val="001044D9"/>
    <w:rsid w:val="00105780"/>
    <w:rsid w:val="00143001"/>
    <w:rsid w:val="00146B60"/>
    <w:rsid w:val="00167B94"/>
    <w:rsid w:val="001826B1"/>
    <w:rsid w:val="001D31C8"/>
    <w:rsid w:val="00276496"/>
    <w:rsid w:val="002860CE"/>
    <w:rsid w:val="00387C24"/>
    <w:rsid w:val="00397D4D"/>
    <w:rsid w:val="003C32B4"/>
    <w:rsid w:val="003D1B23"/>
    <w:rsid w:val="003F7999"/>
    <w:rsid w:val="004141E8"/>
    <w:rsid w:val="00424124"/>
    <w:rsid w:val="004420BB"/>
    <w:rsid w:val="004A2317"/>
    <w:rsid w:val="004F6774"/>
    <w:rsid w:val="00595CF9"/>
    <w:rsid w:val="005C25ED"/>
    <w:rsid w:val="005C2B71"/>
    <w:rsid w:val="005C5E6D"/>
    <w:rsid w:val="005E0E5A"/>
    <w:rsid w:val="00604424"/>
    <w:rsid w:val="00605E47"/>
    <w:rsid w:val="00642B1B"/>
    <w:rsid w:val="006525F4"/>
    <w:rsid w:val="00655A79"/>
    <w:rsid w:val="00677BDD"/>
    <w:rsid w:val="006A0C7C"/>
    <w:rsid w:val="006D468C"/>
    <w:rsid w:val="006F0828"/>
    <w:rsid w:val="00702BEA"/>
    <w:rsid w:val="00733B6D"/>
    <w:rsid w:val="00743BE3"/>
    <w:rsid w:val="00750022"/>
    <w:rsid w:val="00766EFD"/>
    <w:rsid w:val="00776267"/>
    <w:rsid w:val="00781CA6"/>
    <w:rsid w:val="007A4E7F"/>
    <w:rsid w:val="007C1E96"/>
    <w:rsid w:val="00800CFE"/>
    <w:rsid w:val="00810CFF"/>
    <w:rsid w:val="00846C57"/>
    <w:rsid w:val="00850293"/>
    <w:rsid w:val="008734F6"/>
    <w:rsid w:val="008A31A4"/>
    <w:rsid w:val="008C373F"/>
    <w:rsid w:val="008D3175"/>
    <w:rsid w:val="008D531C"/>
    <w:rsid w:val="009015F6"/>
    <w:rsid w:val="00914993"/>
    <w:rsid w:val="00932108"/>
    <w:rsid w:val="00951570"/>
    <w:rsid w:val="009606DB"/>
    <w:rsid w:val="00975081"/>
    <w:rsid w:val="009B25C6"/>
    <w:rsid w:val="009E00A8"/>
    <w:rsid w:val="009E774B"/>
    <w:rsid w:val="009F2B01"/>
    <w:rsid w:val="00A23755"/>
    <w:rsid w:val="00A23E4E"/>
    <w:rsid w:val="00A24BBD"/>
    <w:rsid w:val="00A26AED"/>
    <w:rsid w:val="00A33B96"/>
    <w:rsid w:val="00A47480"/>
    <w:rsid w:val="00A754CF"/>
    <w:rsid w:val="00A92227"/>
    <w:rsid w:val="00AA3137"/>
    <w:rsid w:val="00AA5D3B"/>
    <w:rsid w:val="00AB6A93"/>
    <w:rsid w:val="00AD74C6"/>
    <w:rsid w:val="00AF7B80"/>
    <w:rsid w:val="00B33012"/>
    <w:rsid w:val="00B802C8"/>
    <w:rsid w:val="00B85D18"/>
    <w:rsid w:val="00BA12B9"/>
    <w:rsid w:val="00BA6098"/>
    <w:rsid w:val="00BB29F1"/>
    <w:rsid w:val="00BC42F0"/>
    <w:rsid w:val="00BE68FF"/>
    <w:rsid w:val="00C16C38"/>
    <w:rsid w:val="00C242A2"/>
    <w:rsid w:val="00C64D37"/>
    <w:rsid w:val="00C72D0D"/>
    <w:rsid w:val="00C74A21"/>
    <w:rsid w:val="00C754A0"/>
    <w:rsid w:val="00C842C9"/>
    <w:rsid w:val="00C96F1E"/>
    <w:rsid w:val="00CC2271"/>
    <w:rsid w:val="00CE6639"/>
    <w:rsid w:val="00CF794B"/>
    <w:rsid w:val="00D0626D"/>
    <w:rsid w:val="00D107EA"/>
    <w:rsid w:val="00D637F7"/>
    <w:rsid w:val="00DB314D"/>
    <w:rsid w:val="00DD11F9"/>
    <w:rsid w:val="00DD256E"/>
    <w:rsid w:val="00E506D7"/>
    <w:rsid w:val="00E5468A"/>
    <w:rsid w:val="00E84603"/>
    <w:rsid w:val="00EF2F7F"/>
    <w:rsid w:val="00EF7494"/>
    <w:rsid w:val="00F17925"/>
    <w:rsid w:val="00F62CB3"/>
    <w:rsid w:val="00F97B09"/>
    <w:rsid w:val="00FA1B33"/>
    <w:rsid w:val="00FC699C"/>
    <w:rsid w:val="00FE46EE"/>
    <w:rsid w:val="00FE736F"/>
    <w:rsid w:val="00FF2F9B"/>
    <w:rsid w:val="369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E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93016-0E62-4650-8159-533747D7354F}">
  <ds:schemaRefs>
    <ds:schemaRef ds:uri="http://schemas.microsoft.com/office/2006/documentManagement/types"/>
    <ds:schemaRef ds:uri="2ef64c7a-f0db-4be9-a2d1-a81bc3108332"/>
    <ds:schemaRef ds:uri="56c6f19a-effe-4935-9341-fe92395bebc7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2021-06-01T23:44:00Z</dcterms:created>
  <dcterms:modified xsi:type="dcterms:W3CDTF">2021-07-21T05:48:00Z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