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6"/>
        <w:gridCol w:w="10434"/>
      </w:tblGrid>
      <w:tr w:rsidR="009E5BE4" w:rsidRPr="00C21B38" w14:paraId="57B02343" w14:textId="77777777" w:rsidTr="1D7746B0">
        <w:trPr>
          <w:trHeight w:val="71"/>
        </w:trPr>
        <w:tc>
          <w:tcPr>
            <w:tcW w:w="5000" w:type="pct"/>
            <w:gridSpan w:val="2"/>
            <w:tcBorders>
              <w:bottom w:val="single" w:sz="24" w:space="0" w:color="000000" w:themeColor="text1"/>
            </w:tcBorders>
          </w:tcPr>
          <w:p w14:paraId="6A3742C5" w14:textId="77777777" w:rsidR="009E5BE4" w:rsidRDefault="43119A0A" w:rsidP="001215FF">
            <w:pPr>
              <w:pStyle w:val="TableParagraph"/>
              <w:tabs>
                <w:tab w:val="left" w:pos="6594"/>
              </w:tabs>
              <w:spacing w:before="16" w:after="6"/>
              <w:ind w:left="83" w:right="78"/>
              <w:jc w:val="both"/>
              <w:rPr>
                <w:sz w:val="20"/>
                <w:szCs w:val="20"/>
              </w:rPr>
            </w:pPr>
            <w:bookmarkStart w:id="0" w:name="_GoBack"/>
            <w:bookmarkEnd w:id="0"/>
            <w:r w:rsidRPr="1D7746B0">
              <w:rPr>
                <w:sz w:val="20"/>
                <w:szCs w:val="20"/>
              </w:rPr>
              <w:t xml:space="preserve">The purpose of this form is to provide support for investigators who plan to conduct medical research that includes adult individuals with cognitive impairments, lack of decisional capacity, or serious physical or behavioral conditions that limit their ability to provide informed consent. This form outlines the steps for determining decisional capacity and a subject’s wishes to take part in research pursuant to the </w:t>
            </w:r>
            <w:r w:rsidRPr="1D7746B0">
              <w:rPr>
                <w:b/>
                <w:bCs/>
                <w:sz w:val="20"/>
                <w:szCs w:val="20"/>
              </w:rPr>
              <w:t>NJ Access to Medical Research Act Statute</w:t>
            </w:r>
            <w:r w:rsidRPr="1D7746B0">
              <w:rPr>
                <w:sz w:val="20"/>
                <w:szCs w:val="20"/>
              </w:rPr>
              <w:t xml:space="preserve"> 26:14.1-26:14.5 and other consent considerations pursuant to the Common Rule 45 CFR 46. When conducted outside of New Jersey, the research must comply with the applicable surrogacy laws in the jurisdictions where the research is taking place. This worksheet is to be used. It does not need to be completed or retained. </w:t>
            </w:r>
          </w:p>
          <w:p w14:paraId="3786051A" w14:textId="77777777" w:rsidR="008632F4" w:rsidRDefault="008632F4" w:rsidP="001215FF">
            <w:pPr>
              <w:pStyle w:val="TableParagraph"/>
              <w:tabs>
                <w:tab w:val="left" w:pos="6594"/>
              </w:tabs>
              <w:spacing w:before="16" w:after="6"/>
              <w:ind w:left="83" w:right="78"/>
              <w:jc w:val="both"/>
              <w:rPr>
                <w:sz w:val="20"/>
                <w:szCs w:val="20"/>
              </w:rPr>
            </w:pPr>
          </w:p>
          <w:p w14:paraId="007305BF" w14:textId="39980B3C" w:rsidR="008632F4" w:rsidRPr="008632F4" w:rsidRDefault="008632F4" w:rsidP="001215FF">
            <w:pPr>
              <w:pStyle w:val="TableParagraph"/>
              <w:tabs>
                <w:tab w:val="left" w:pos="6594"/>
              </w:tabs>
              <w:spacing w:before="16" w:after="6"/>
              <w:ind w:left="83" w:right="78"/>
              <w:jc w:val="both"/>
              <w:rPr>
                <w:b/>
                <w:sz w:val="20"/>
                <w:szCs w:val="20"/>
              </w:rPr>
            </w:pPr>
            <w:r w:rsidRPr="008632F4">
              <w:rPr>
                <w:b/>
                <w:sz w:val="20"/>
                <w:szCs w:val="20"/>
              </w:rPr>
              <w:t xml:space="preserve">IMPORTANT: Read all steps </w:t>
            </w:r>
            <w:r>
              <w:rPr>
                <w:b/>
                <w:sz w:val="20"/>
                <w:szCs w:val="20"/>
              </w:rPr>
              <w:t xml:space="preserve">carefully </w:t>
            </w:r>
            <w:r w:rsidRPr="008632F4">
              <w:rPr>
                <w:b/>
                <w:sz w:val="20"/>
                <w:szCs w:val="20"/>
              </w:rPr>
              <w:t xml:space="preserve">before </w:t>
            </w:r>
            <w:r>
              <w:rPr>
                <w:b/>
                <w:sz w:val="20"/>
                <w:szCs w:val="20"/>
              </w:rPr>
              <w:t>executing any of the steps</w:t>
            </w:r>
            <w:r w:rsidRPr="008632F4">
              <w:rPr>
                <w:b/>
                <w:sz w:val="20"/>
                <w:szCs w:val="20"/>
              </w:rPr>
              <w:t>.</w:t>
            </w:r>
          </w:p>
        </w:tc>
      </w:tr>
      <w:tr w:rsidR="009E5BE4" w:rsidRPr="00C21B38" w14:paraId="3D611B11" w14:textId="77777777" w:rsidTr="00174A35">
        <w:trPr>
          <w:trHeight w:val="3648"/>
        </w:trPr>
        <w:tc>
          <w:tcPr>
            <w:tcW w:w="5000" w:type="pct"/>
            <w:gridSpan w:val="2"/>
          </w:tcPr>
          <w:p w14:paraId="1B45A7FF" w14:textId="499C81C3" w:rsidR="009E5BE4" w:rsidRDefault="63EB087E" w:rsidP="1D7746B0">
            <w:pPr>
              <w:pStyle w:val="TableParagraph"/>
              <w:tabs>
                <w:tab w:val="left" w:pos="6594"/>
              </w:tabs>
              <w:spacing w:before="16" w:after="6"/>
              <w:ind w:left="82"/>
              <w:rPr>
                <w:sz w:val="20"/>
                <w:szCs w:val="20"/>
              </w:rPr>
            </w:pPr>
            <w:r w:rsidRPr="1D7746B0">
              <w:rPr>
                <w:b/>
                <w:bCs/>
                <w:sz w:val="20"/>
                <w:szCs w:val="20"/>
              </w:rPr>
              <w:t>BACKGROUND INFORMATION:</w:t>
            </w:r>
          </w:p>
          <w:p w14:paraId="6C28569C" w14:textId="77777777" w:rsidR="001215FF" w:rsidRDefault="001215FF" w:rsidP="1D7746B0">
            <w:pPr>
              <w:pStyle w:val="TableParagraph"/>
              <w:tabs>
                <w:tab w:val="left" w:pos="6594"/>
              </w:tabs>
              <w:spacing w:before="16" w:after="6"/>
              <w:ind w:left="0"/>
              <w:rPr>
                <w:sz w:val="20"/>
                <w:szCs w:val="20"/>
              </w:rPr>
            </w:pPr>
          </w:p>
          <w:tbl>
            <w:tblPr>
              <w:tblStyle w:val="TableGrid"/>
              <w:tblW w:w="0" w:type="auto"/>
              <w:tblInd w:w="83" w:type="dxa"/>
              <w:tblLook w:val="04A0" w:firstRow="1" w:lastRow="0" w:firstColumn="1" w:lastColumn="0" w:noHBand="0" w:noVBand="1"/>
            </w:tblPr>
            <w:tblGrid>
              <w:gridCol w:w="10614"/>
            </w:tblGrid>
            <w:tr w:rsidR="009E5BE4" w14:paraId="220F5680" w14:textId="77777777" w:rsidTr="1D7746B0">
              <w:tc>
                <w:tcPr>
                  <w:tcW w:w="10614" w:type="dxa"/>
                  <w:shd w:val="clear" w:color="auto" w:fill="D9D9D9" w:themeFill="background1" w:themeFillShade="D9"/>
                </w:tcPr>
                <w:p w14:paraId="5A4A9ABB" w14:textId="29575AC1" w:rsidR="009E5BE4" w:rsidRPr="00F672DB" w:rsidRDefault="43119A0A" w:rsidP="1D7746B0">
                  <w:pPr>
                    <w:pStyle w:val="TableParagraph"/>
                    <w:tabs>
                      <w:tab w:val="left" w:pos="6594"/>
                    </w:tabs>
                    <w:spacing w:before="16" w:after="6"/>
                    <w:ind w:left="0"/>
                    <w:rPr>
                      <w:b/>
                      <w:bCs/>
                      <w:sz w:val="18"/>
                      <w:szCs w:val="18"/>
                    </w:rPr>
                  </w:pPr>
                  <w:r w:rsidRPr="1D7746B0">
                    <w:rPr>
                      <w:b/>
                      <w:bCs/>
                      <w:sz w:val="18"/>
                      <w:szCs w:val="18"/>
                    </w:rPr>
                    <w:t xml:space="preserve">Per the </w:t>
                  </w:r>
                  <w:r w:rsidR="1BEE0A9D" w:rsidRPr="1D7746B0">
                    <w:rPr>
                      <w:b/>
                      <w:bCs/>
                      <w:sz w:val="18"/>
                      <w:szCs w:val="18"/>
                    </w:rPr>
                    <w:t xml:space="preserve">New Jersey </w:t>
                  </w:r>
                  <w:r w:rsidRPr="1D7746B0">
                    <w:rPr>
                      <w:b/>
                      <w:bCs/>
                      <w:sz w:val="18"/>
                      <w:szCs w:val="18"/>
                    </w:rPr>
                    <w:t>Access to Medical Research Act or Common Rule:</w:t>
                  </w:r>
                </w:p>
                <w:p w14:paraId="7B1EE181"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sz w:val="18"/>
                      <w:szCs w:val="18"/>
                    </w:rPr>
                    <w:t>Inability to consent shall mean that a prospective subject is unable to consent if s/he is unable to voluntarily reason, understand, and appreciate the nature and consequences of proposed health research interventions, including the subject’s diagnosis and prognosis, the burdens, benefits, and risks of, and alternatives to, any such research, and to reach an informed decision.</w:t>
                  </w:r>
                </w:p>
                <w:p w14:paraId="6ABE0F71"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sz w:val="18"/>
                      <w:szCs w:val="18"/>
                    </w:rPr>
                    <w:t>All adults are presumed to have the ability to consent unless determined otherwise pursuant to the Act or other provisions of NJ State law.</w:t>
                  </w:r>
                </w:p>
                <w:p w14:paraId="18634C60"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sz w:val="18"/>
                      <w:szCs w:val="18"/>
                    </w:rPr>
                    <w:t>A determination that a subject is unable to consent, as well as the extent of his/her incapacity and the likelihood of regaining decision-making capacity shall be made by an attending physician with no connection to the proposed research and shall be made to a reasonable degree of medical certainty.</w:t>
                  </w:r>
                </w:p>
                <w:p w14:paraId="3475CF0D"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sz w:val="18"/>
                      <w:szCs w:val="18"/>
                    </w:rPr>
                    <w:t xml:space="preserve">An assessment whether a subject, who is otherwise unable to consent, is able to assent to take part in the research shall be made by the investigator.  </w:t>
                  </w:r>
                </w:p>
                <w:p w14:paraId="2694E6D6"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sz w:val="18"/>
                      <w:szCs w:val="18"/>
                    </w:rPr>
                    <w:t>A decision to enroll an adult lacking decisional capacity in research must be consistent with instructions outlined in an Advanced Directive for Health Care, if one exists.</w:t>
                  </w:r>
                </w:p>
                <w:p w14:paraId="396873AA" w14:textId="77777777" w:rsidR="009E5BE4" w:rsidRPr="006A352B" w:rsidRDefault="43119A0A" w:rsidP="1D7746B0">
                  <w:pPr>
                    <w:pStyle w:val="TableParagraph"/>
                    <w:numPr>
                      <w:ilvl w:val="0"/>
                      <w:numId w:val="23"/>
                    </w:numPr>
                    <w:tabs>
                      <w:tab w:val="left" w:pos="6594"/>
                    </w:tabs>
                    <w:spacing w:before="16" w:after="6"/>
                    <w:ind w:left="422" w:right="149"/>
                    <w:rPr>
                      <w:sz w:val="18"/>
                      <w:szCs w:val="18"/>
                    </w:rPr>
                  </w:pPr>
                  <w:r w:rsidRPr="1D7746B0">
                    <w:rPr>
                      <w:b/>
                      <w:bCs/>
                      <w:sz w:val="18"/>
                      <w:szCs w:val="18"/>
                    </w:rPr>
                    <w:t>NOTE</w:t>
                  </w:r>
                  <w:r w:rsidRPr="1D7746B0">
                    <w:rPr>
                      <w:sz w:val="18"/>
                      <w:szCs w:val="18"/>
                    </w:rPr>
                    <w:t xml:space="preserve">: Notwithstanding a determination of incapacity, a subject’s </w:t>
                  </w:r>
                  <w:r w:rsidRPr="1D7746B0">
                    <w:rPr>
                      <w:sz w:val="18"/>
                      <w:szCs w:val="18"/>
                      <w:u w:val="single"/>
                    </w:rPr>
                    <w:t>objection to a determination of incapacity</w:t>
                  </w:r>
                  <w:r w:rsidRPr="1D7746B0">
                    <w:rPr>
                      <w:sz w:val="18"/>
                      <w:szCs w:val="18"/>
                    </w:rPr>
                    <w:t xml:space="preserve"> or </w:t>
                  </w:r>
                  <w:r w:rsidRPr="1D7746B0">
                    <w:rPr>
                      <w:sz w:val="18"/>
                      <w:szCs w:val="18"/>
                      <w:u w:val="single"/>
                    </w:rPr>
                    <w:t>objection to the proposed research intervention</w:t>
                  </w:r>
                  <w:r w:rsidRPr="1D7746B0">
                    <w:rPr>
                      <w:sz w:val="18"/>
                      <w:szCs w:val="18"/>
                    </w:rPr>
                    <w:t xml:space="preserve"> shall be binding, unless a court of competent jurisdiction determines that the subject lacks decision-making capacity.</w:t>
                  </w:r>
                </w:p>
                <w:p w14:paraId="772A0504" w14:textId="77777777" w:rsidR="009E5BE4" w:rsidRDefault="009E5BE4" w:rsidP="1D7746B0">
                  <w:pPr>
                    <w:pStyle w:val="TableParagraph"/>
                    <w:tabs>
                      <w:tab w:val="left" w:pos="6594"/>
                    </w:tabs>
                    <w:spacing w:before="16" w:after="6"/>
                    <w:ind w:left="0"/>
                    <w:rPr>
                      <w:sz w:val="20"/>
                      <w:szCs w:val="20"/>
                    </w:rPr>
                  </w:pPr>
                </w:p>
              </w:tc>
            </w:tr>
          </w:tbl>
          <w:p w14:paraId="4B4551D4" w14:textId="195867A7" w:rsidR="009E5BE4" w:rsidRPr="00C21B38" w:rsidRDefault="009E5BE4" w:rsidP="00D20074">
            <w:pPr>
              <w:pStyle w:val="TableParagraph"/>
              <w:spacing w:before="16" w:after="6"/>
              <w:ind w:left="0"/>
              <w:rPr>
                <w:sz w:val="20"/>
                <w:szCs w:val="20"/>
              </w:rPr>
            </w:pPr>
          </w:p>
        </w:tc>
      </w:tr>
      <w:tr w:rsidR="00174A35" w:rsidRPr="00416D13" w14:paraId="7122AE0D" w14:textId="77777777" w:rsidTr="1D7746B0">
        <w:trPr>
          <w:trHeight w:val="71"/>
        </w:trPr>
        <w:tc>
          <w:tcPr>
            <w:tcW w:w="5000" w:type="pct"/>
            <w:gridSpan w:val="2"/>
            <w:tcBorders>
              <w:top w:val="single" w:sz="24" w:space="0" w:color="000000" w:themeColor="text1"/>
            </w:tcBorders>
          </w:tcPr>
          <w:p w14:paraId="16EE45F6" w14:textId="77777777" w:rsidR="00174A35" w:rsidRDefault="00174A35" w:rsidP="00174A35">
            <w:pPr>
              <w:pStyle w:val="TableParagraph"/>
              <w:spacing w:before="16" w:after="6"/>
              <w:ind w:left="83"/>
              <w:rPr>
                <w:b/>
                <w:bCs/>
                <w:sz w:val="20"/>
                <w:szCs w:val="20"/>
              </w:rPr>
            </w:pPr>
            <w:bookmarkStart w:id="1" w:name="_Hlk45631049"/>
            <w:r w:rsidRPr="1D7746B0">
              <w:rPr>
                <w:b/>
                <w:bCs/>
                <w:sz w:val="20"/>
                <w:szCs w:val="20"/>
              </w:rPr>
              <w:t>INSTRUCTIONS:</w:t>
            </w:r>
          </w:p>
          <w:p w14:paraId="40D936EB" w14:textId="77777777" w:rsidR="00174A35" w:rsidRDefault="00174A35" w:rsidP="00174A35">
            <w:pPr>
              <w:pStyle w:val="TableParagraph"/>
              <w:tabs>
                <w:tab w:val="left" w:pos="6594"/>
              </w:tabs>
              <w:spacing w:before="16" w:after="6"/>
              <w:ind w:left="82" w:right="78"/>
              <w:rPr>
                <w:rFonts w:cs="Arial"/>
                <w:b/>
                <w:bCs/>
                <w:sz w:val="18"/>
                <w:szCs w:val="18"/>
              </w:rPr>
            </w:pPr>
          </w:p>
          <w:p w14:paraId="5B39813F" w14:textId="27213ACB" w:rsidR="00174A35" w:rsidRPr="00F672DB" w:rsidRDefault="00174A35" w:rsidP="00174A35">
            <w:pPr>
              <w:pStyle w:val="TableParagraph"/>
              <w:tabs>
                <w:tab w:val="left" w:pos="6594"/>
              </w:tabs>
              <w:spacing w:before="16" w:after="6"/>
              <w:ind w:left="82" w:right="78"/>
              <w:rPr>
                <w:rFonts w:cs="Arial"/>
                <w:b/>
                <w:bCs/>
                <w:sz w:val="18"/>
                <w:szCs w:val="18"/>
              </w:rPr>
            </w:pPr>
            <w:r w:rsidRPr="1D7746B0">
              <w:rPr>
                <w:rFonts w:cs="Arial"/>
                <w:b/>
                <w:bCs/>
                <w:sz w:val="18"/>
                <w:szCs w:val="18"/>
              </w:rPr>
              <w:t>To comply with New Jersey Law, the following steps must be followed to determine a potential subject’s capacity to consent to research and whether surrogate consent must be pursued instead:</w:t>
            </w:r>
          </w:p>
          <w:p w14:paraId="4820392F" w14:textId="77777777" w:rsidR="00174A35" w:rsidRPr="00174A35" w:rsidRDefault="00174A35" w:rsidP="00174A35">
            <w:pPr>
              <w:pStyle w:val="TableParagraph"/>
              <w:numPr>
                <w:ilvl w:val="0"/>
                <w:numId w:val="25"/>
              </w:numPr>
              <w:spacing w:before="16" w:after="6"/>
              <w:ind w:right="78"/>
              <w:rPr>
                <w:rFonts w:cs="Arial"/>
                <w:sz w:val="18"/>
                <w:szCs w:val="18"/>
              </w:rPr>
            </w:pPr>
            <w:r w:rsidRPr="00174A35">
              <w:rPr>
                <w:rFonts w:cs="Arial"/>
                <w:sz w:val="18"/>
                <w:szCs w:val="18"/>
              </w:rPr>
              <w:t>Assess the possibility that the subject is able to provide legally valid consent to take part in research. If yes, attempt to obtain informed consent directly from the subject.</w:t>
            </w:r>
          </w:p>
          <w:p w14:paraId="173E9E1D" w14:textId="77777777" w:rsidR="00174A35" w:rsidRPr="00174A35" w:rsidRDefault="00174A35" w:rsidP="00174A35">
            <w:pPr>
              <w:pStyle w:val="TableParagraph"/>
              <w:numPr>
                <w:ilvl w:val="0"/>
                <w:numId w:val="25"/>
              </w:numPr>
              <w:spacing w:before="16" w:after="6"/>
              <w:ind w:right="78"/>
              <w:rPr>
                <w:rFonts w:cs="Arial"/>
                <w:sz w:val="18"/>
                <w:szCs w:val="18"/>
              </w:rPr>
            </w:pPr>
            <w:r w:rsidRPr="00174A35">
              <w:rPr>
                <w:rFonts w:cs="Arial"/>
                <w:sz w:val="18"/>
                <w:szCs w:val="18"/>
              </w:rPr>
              <w:t>Confirm whether an Advance Directive for Healthcare exists and, if so, whether it gives a directive about participation in research.</w:t>
            </w:r>
          </w:p>
          <w:p w14:paraId="58447070" w14:textId="45DAC1D9" w:rsidR="00174A35" w:rsidRPr="00174A35" w:rsidRDefault="00174A35" w:rsidP="00174A35">
            <w:pPr>
              <w:pStyle w:val="TableParagraph"/>
              <w:numPr>
                <w:ilvl w:val="0"/>
                <w:numId w:val="25"/>
              </w:numPr>
              <w:spacing w:before="16" w:after="6"/>
              <w:ind w:right="78"/>
              <w:rPr>
                <w:rFonts w:cs="Arial"/>
                <w:sz w:val="18"/>
                <w:szCs w:val="18"/>
              </w:rPr>
            </w:pPr>
            <w:r w:rsidRPr="00174A35">
              <w:rPr>
                <w:rFonts w:cs="Arial"/>
                <w:sz w:val="18"/>
                <w:szCs w:val="18"/>
              </w:rPr>
              <w:t xml:space="preserve">If it is not possible to obtain informed consent directly from the subject, a physician independent of the research must determine whether the subject lacks capacity to consent to participate in research, and the anticipated duration and extent </w:t>
            </w:r>
            <w:r w:rsidR="00A41E6C">
              <w:rPr>
                <w:rFonts w:cs="Arial"/>
                <w:sz w:val="18"/>
                <w:szCs w:val="18"/>
              </w:rPr>
              <w:t xml:space="preserve">of </w:t>
            </w:r>
            <w:r w:rsidRPr="00174A35">
              <w:rPr>
                <w:rFonts w:cs="Arial"/>
                <w:sz w:val="18"/>
                <w:szCs w:val="18"/>
              </w:rPr>
              <w:t>the incapacity.</w:t>
            </w:r>
          </w:p>
          <w:p w14:paraId="710C6288" w14:textId="1DFFF9DD" w:rsidR="00174A35" w:rsidRPr="00174A35" w:rsidRDefault="00174A35" w:rsidP="00174A35">
            <w:pPr>
              <w:pStyle w:val="TableParagraph"/>
              <w:numPr>
                <w:ilvl w:val="0"/>
                <w:numId w:val="25"/>
              </w:numPr>
              <w:ind w:right="78"/>
              <w:contextualSpacing/>
              <w:rPr>
                <w:rFonts w:cs="Arial"/>
                <w:b/>
                <w:sz w:val="20"/>
                <w:szCs w:val="20"/>
              </w:rPr>
            </w:pPr>
            <w:r w:rsidRPr="00174A35">
              <w:rPr>
                <w:rFonts w:cs="Arial"/>
                <w:sz w:val="18"/>
                <w:szCs w:val="18"/>
              </w:rPr>
              <w:t>The physician’s determination of lack of capacity to consent must be given promptly to the subject and at least one person in the highest order of priority</w:t>
            </w:r>
            <w:r w:rsidR="00744519">
              <w:rPr>
                <w:rFonts w:cs="Arial"/>
                <w:sz w:val="18"/>
                <w:szCs w:val="18"/>
              </w:rPr>
              <w:t xml:space="preserve"> </w:t>
            </w:r>
            <w:r w:rsidR="008730FE">
              <w:rPr>
                <w:rFonts w:cs="Arial"/>
                <w:sz w:val="18"/>
                <w:szCs w:val="18"/>
              </w:rPr>
              <w:t>to serve as surrogate</w:t>
            </w:r>
            <w:r w:rsidRPr="00174A35">
              <w:rPr>
                <w:rFonts w:cs="Arial"/>
                <w:sz w:val="18"/>
                <w:szCs w:val="18"/>
              </w:rPr>
              <w:t xml:space="preserve"> (per NJ State Statute 26:14-5).</w:t>
            </w:r>
            <w:bookmarkEnd w:id="1"/>
          </w:p>
          <w:p w14:paraId="6CC3A3C3" w14:textId="286E6914" w:rsidR="00174A35" w:rsidRDefault="00174A35" w:rsidP="00174A35">
            <w:pPr>
              <w:pStyle w:val="TableParagraph"/>
              <w:ind w:left="360" w:right="78"/>
              <w:contextualSpacing/>
              <w:rPr>
                <w:rFonts w:cs="Arial"/>
                <w:b/>
                <w:sz w:val="20"/>
                <w:szCs w:val="20"/>
              </w:rPr>
            </w:pPr>
          </w:p>
          <w:p w14:paraId="73E346DE" w14:textId="68D07588" w:rsidR="00174A35" w:rsidRPr="00495D80" w:rsidRDefault="00174A35" w:rsidP="006A650D">
            <w:pPr>
              <w:pStyle w:val="TableParagraph"/>
              <w:ind w:left="82" w:right="78"/>
              <w:contextualSpacing/>
              <w:rPr>
                <w:rFonts w:cs="Arial"/>
                <w:b/>
                <w:sz w:val="20"/>
                <w:szCs w:val="20"/>
              </w:rPr>
            </w:pPr>
            <w:r w:rsidRPr="006A650D">
              <w:rPr>
                <w:rFonts w:cs="Arial"/>
                <w:b/>
                <w:sz w:val="20"/>
                <w:szCs w:val="20"/>
              </w:rPr>
              <w:t>Each step is detailed below:</w:t>
            </w:r>
          </w:p>
        </w:tc>
      </w:tr>
      <w:tr w:rsidR="009E5BE4" w:rsidRPr="00416D13" w14:paraId="015A280B" w14:textId="77777777" w:rsidTr="1D7746B0">
        <w:trPr>
          <w:trHeight w:val="71"/>
        </w:trPr>
        <w:tc>
          <w:tcPr>
            <w:tcW w:w="5000" w:type="pct"/>
            <w:gridSpan w:val="2"/>
            <w:tcBorders>
              <w:top w:val="single" w:sz="24" w:space="0" w:color="000000" w:themeColor="text1"/>
            </w:tcBorders>
          </w:tcPr>
          <w:p w14:paraId="515827FA" w14:textId="77777777" w:rsidR="009E5BE4" w:rsidRDefault="009E5BE4" w:rsidP="00D20074">
            <w:pPr>
              <w:pStyle w:val="TableParagraph"/>
              <w:ind w:left="82" w:right="78"/>
              <w:contextualSpacing/>
              <w:rPr>
                <w:rFonts w:cs="Arial"/>
                <w:bCs/>
                <w:sz w:val="20"/>
                <w:szCs w:val="20"/>
              </w:rPr>
            </w:pPr>
            <w:r w:rsidRPr="00495D80">
              <w:rPr>
                <w:rFonts w:cs="Arial"/>
                <w:b/>
                <w:sz w:val="20"/>
                <w:szCs w:val="20"/>
              </w:rPr>
              <w:t>STEP 1</w:t>
            </w:r>
            <w:r w:rsidRPr="00416D13">
              <w:rPr>
                <w:rFonts w:cs="Arial"/>
                <w:bCs/>
                <w:sz w:val="20"/>
                <w:szCs w:val="20"/>
              </w:rPr>
              <w:t xml:space="preserve"> Assess the possibility that a subject is able to provide consent. Attempt to obtain informed consent directly from the subject, if applicable. </w:t>
            </w:r>
          </w:p>
          <w:p w14:paraId="3E0282A1" w14:textId="77777777" w:rsidR="009E5BE4" w:rsidRPr="00861F6D" w:rsidRDefault="009E5BE4" w:rsidP="00D20074">
            <w:pPr>
              <w:pStyle w:val="TableParagraph"/>
              <w:ind w:left="82" w:right="78"/>
              <w:contextualSpacing/>
              <w:rPr>
                <w:rFonts w:cs="Arial"/>
                <w:b/>
                <w:i/>
                <w:iCs/>
                <w:sz w:val="20"/>
                <w:szCs w:val="20"/>
              </w:rPr>
            </w:pPr>
            <w:r w:rsidRPr="00861F6D">
              <w:rPr>
                <w:rFonts w:cs="Arial"/>
                <w:b/>
                <w:i/>
                <w:iCs/>
                <w:sz w:val="20"/>
                <w:szCs w:val="20"/>
              </w:rPr>
              <w:t>Does the subject have the capacity to make informed decisions to take part in research?</w:t>
            </w:r>
          </w:p>
        </w:tc>
      </w:tr>
      <w:tr w:rsidR="009E5BE4" w:rsidRPr="00416D13" w14:paraId="4A2A8B9A" w14:textId="77777777" w:rsidTr="1D7746B0">
        <w:trPr>
          <w:trHeight w:val="71"/>
        </w:trPr>
        <w:sdt>
          <w:sdtPr>
            <w:rPr>
              <w:bCs/>
              <w:sz w:val="20"/>
              <w:szCs w:val="20"/>
            </w:rPr>
            <w:id w:val="-108051929"/>
            <w14:checkbox>
              <w14:checked w14:val="0"/>
              <w14:checkedState w14:val="2612" w14:font="MS Gothic"/>
              <w14:uncheckedState w14:val="2610" w14:font="MS Gothic"/>
            </w14:checkbox>
          </w:sdtPr>
          <w:sdtEndPr/>
          <w:sdtContent>
            <w:tc>
              <w:tcPr>
                <w:tcW w:w="165" w:type="pct"/>
              </w:tcPr>
              <w:p w14:paraId="7ABEE165" w14:textId="77777777" w:rsidR="009E5BE4" w:rsidRPr="00416D13" w:rsidRDefault="009E5BE4" w:rsidP="00D20074">
                <w:pPr>
                  <w:pStyle w:val="TableParagraph"/>
                  <w:tabs>
                    <w:tab w:val="left" w:pos="6594"/>
                  </w:tabs>
                  <w:ind w:left="83"/>
                  <w:contextualSpacing/>
                  <w:jc w:val="center"/>
                  <w:rPr>
                    <w:bCs/>
                    <w:sz w:val="20"/>
                    <w:szCs w:val="20"/>
                  </w:rPr>
                </w:pPr>
                <w:r w:rsidRPr="00416D13">
                  <w:rPr>
                    <w:rFonts w:ascii="Segoe UI Symbol" w:eastAsia="MS Gothic" w:hAnsi="Segoe UI Symbol" w:cs="Segoe UI Symbol"/>
                    <w:bCs/>
                    <w:sz w:val="20"/>
                    <w:szCs w:val="20"/>
                  </w:rPr>
                  <w:t>☐</w:t>
                </w:r>
              </w:p>
            </w:tc>
          </w:sdtContent>
        </w:sdt>
        <w:tc>
          <w:tcPr>
            <w:tcW w:w="4835" w:type="pct"/>
          </w:tcPr>
          <w:p w14:paraId="07D9D0C3" w14:textId="77777777" w:rsidR="009E5BE4" w:rsidRPr="00416D13" w:rsidRDefault="009E5BE4" w:rsidP="00D20074">
            <w:pPr>
              <w:pStyle w:val="TableParagraph"/>
              <w:tabs>
                <w:tab w:val="left" w:pos="470"/>
              </w:tabs>
              <w:ind w:left="89" w:right="78"/>
              <w:contextualSpacing/>
              <w:rPr>
                <w:rFonts w:cs="Arial"/>
                <w:bCs/>
                <w:color w:val="00B0F0"/>
                <w:sz w:val="20"/>
                <w:szCs w:val="20"/>
              </w:rPr>
            </w:pPr>
            <w:r w:rsidRPr="00416D13">
              <w:rPr>
                <w:rFonts w:cs="Arial"/>
                <w:bCs/>
                <w:sz w:val="20"/>
                <w:szCs w:val="20"/>
              </w:rPr>
              <w:t>YES</w:t>
            </w:r>
            <w:r>
              <w:rPr>
                <w:rFonts w:cs="Arial"/>
                <w:bCs/>
                <w:sz w:val="20"/>
                <w:szCs w:val="20"/>
              </w:rPr>
              <w:t>:</w:t>
            </w:r>
            <w:r w:rsidRPr="00416D13">
              <w:rPr>
                <w:rFonts w:cs="Arial"/>
                <w:bCs/>
                <w:sz w:val="20"/>
                <w:szCs w:val="20"/>
              </w:rPr>
              <w:t xml:space="preserve"> The subject is able to understand the details of the research and s/he made a decision about taking part in the research. </w:t>
            </w:r>
            <w:r w:rsidRPr="00F672DB">
              <w:rPr>
                <w:rFonts w:cs="Arial"/>
                <w:bCs/>
                <w:sz w:val="20"/>
                <w:szCs w:val="20"/>
              </w:rPr>
              <w:t xml:space="preserve"> [</w:t>
            </w:r>
            <w:r w:rsidRPr="00F672DB">
              <w:rPr>
                <w:rFonts w:cs="Arial"/>
                <w:b/>
                <w:sz w:val="20"/>
                <w:szCs w:val="20"/>
              </w:rPr>
              <w:t>STOP</w:t>
            </w:r>
            <w:r w:rsidRPr="00F672DB">
              <w:rPr>
                <w:rFonts w:cs="Arial"/>
                <w:bCs/>
                <w:sz w:val="20"/>
                <w:szCs w:val="20"/>
              </w:rPr>
              <w:t>. Obtaining surrogate consent is not necessary when an adult subject has the capacity to make informed decisions in his/her own best interests.]</w:t>
            </w:r>
          </w:p>
        </w:tc>
      </w:tr>
      <w:tr w:rsidR="009E5BE4" w:rsidRPr="00416D13" w14:paraId="5DB3DA8C" w14:textId="77777777" w:rsidTr="1D7746B0">
        <w:trPr>
          <w:trHeight w:val="43"/>
        </w:trPr>
        <w:sdt>
          <w:sdtPr>
            <w:rPr>
              <w:bCs/>
              <w:sz w:val="20"/>
              <w:szCs w:val="20"/>
            </w:rPr>
            <w:id w:val="1433705053"/>
            <w14:checkbox>
              <w14:checked w14:val="0"/>
              <w14:checkedState w14:val="2612" w14:font="MS Gothic"/>
              <w14:uncheckedState w14:val="2610" w14:font="MS Gothic"/>
            </w14:checkbox>
          </w:sdtPr>
          <w:sdtEndPr/>
          <w:sdtContent>
            <w:tc>
              <w:tcPr>
                <w:tcW w:w="165" w:type="pct"/>
                <w:tcBorders>
                  <w:bottom w:val="single" w:sz="24" w:space="0" w:color="000000" w:themeColor="text1"/>
                </w:tcBorders>
              </w:tcPr>
              <w:p w14:paraId="5D3A66B7" w14:textId="77777777" w:rsidR="009E5BE4" w:rsidRPr="00416D13" w:rsidRDefault="009E5BE4" w:rsidP="00D20074">
                <w:pPr>
                  <w:pStyle w:val="TableParagraph"/>
                  <w:tabs>
                    <w:tab w:val="left" w:pos="6594"/>
                  </w:tabs>
                  <w:ind w:left="83"/>
                  <w:contextualSpacing/>
                  <w:jc w:val="center"/>
                  <w:rPr>
                    <w:bCs/>
                    <w:sz w:val="20"/>
                    <w:szCs w:val="20"/>
                  </w:rPr>
                </w:pPr>
                <w:r w:rsidRPr="00416D13">
                  <w:rPr>
                    <w:rFonts w:ascii="Segoe UI Symbol" w:eastAsia="MS Gothic" w:hAnsi="Segoe UI Symbol" w:cs="Segoe UI Symbol"/>
                    <w:bCs/>
                    <w:sz w:val="20"/>
                    <w:szCs w:val="20"/>
                  </w:rPr>
                  <w:t>☐</w:t>
                </w:r>
              </w:p>
            </w:tc>
          </w:sdtContent>
        </w:sdt>
        <w:tc>
          <w:tcPr>
            <w:tcW w:w="4835" w:type="pct"/>
            <w:tcBorders>
              <w:bottom w:val="single" w:sz="24" w:space="0" w:color="000000" w:themeColor="text1"/>
            </w:tcBorders>
          </w:tcPr>
          <w:p w14:paraId="2483572B" w14:textId="77777777" w:rsidR="009E5BE4" w:rsidRPr="00416D13" w:rsidRDefault="009E5BE4" w:rsidP="00D20074">
            <w:pPr>
              <w:pStyle w:val="TableParagraph"/>
              <w:ind w:left="89" w:right="78"/>
              <w:contextualSpacing/>
              <w:rPr>
                <w:rFonts w:cs="Arial"/>
                <w:bCs/>
                <w:sz w:val="20"/>
                <w:szCs w:val="20"/>
              </w:rPr>
            </w:pPr>
            <w:r w:rsidRPr="00416D13">
              <w:rPr>
                <w:rFonts w:cs="Arial"/>
                <w:bCs/>
                <w:sz w:val="20"/>
                <w:szCs w:val="20"/>
              </w:rPr>
              <w:t>NO</w:t>
            </w:r>
            <w:r>
              <w:rPr>
                <w:rFonts w:cs="Arial"/>
                <w:bCs/>
                <w:sz w:val="20"/>
                <w:szCs w:val="20"/>
              </w:rPr>
              <w:t>:</w:t>
            </w:r>
            <w:r w:rsidRPr="00416D13">
              <w:rPr>
                <w:rFonts w:cs="Arial"/>
                <w:bCs/>
                <w:sz w:val="20"/>
                <w:szCs w:val="20"/>
              </w:rPr>
              <w:t xml:space="preserve"> It is not possible to obtain informed consent directly from the subject. </w:t>
            </w:r>
            <w:r w:rsidRPr="00F672DB">
              <w:rPr>
                <w:rFonts w:cs="Arial"/>
                <w:bCs/>
                <w:sz w:val="20"/>
                <w:szCs w:val="20"/>
              </w:rPr>
              <w:t>[</w:t>
            </w:r>
            <w:r w:rsidRPr="00A03E4E">
              <w:rPr>
                <w:rFonts w:cs="Arial"/>
                <w:b/>
                <w:sz w:val="20"/>
                <w:szCs w:val="20"/>
              </w:rPr>
              <w:t>Proceed</w:t>
            </w:r>
            <w:r w:rsidRPr="00F672DB">
              <w:rPr>
                <w:rFonts w:cs="Arial"/>
                <w:bCs/>
                <w:sz w:val="20"/>
                <w:szCs w:val="20"/>
              </w:rPr>
              <w:t xml:space="preserve"> to Step 2.]</w:t>
            </w:r>
          </w:p>
        </w:tc>
      </w:tr>
      <w:tr w:rsidR="009E5BE4" w:rsidRPr="00416D13" w14:paraId="25991BAB" w14:textId="77777777" w:rsidTr="1D7746B0">
        <w:trPr>
          <w:trHeight w:val="71"/>
        </w:trPr>
        <w:tc>
          <w:tcPr>
            <w:tcW w:w="5000" w:type="pct"/>
            <w:gridSpan w:val="2"/>
            <w:tcBorders>
              <w:top w:val="single" w:sz="24" w:space="0" w:color="000000" w:themeColor="text1"/>
            </w:tcBorders>
          </w:tcPr>
          <w:p w14:paraId="57D4031A" w14:textId="2A6BD23E" w:rsidR="009E5BE4" w:rsidRPr="00416D13" w:rsidRDefault="43119A0A" w:rsidP="1D7746B0">
            <w:pPr>
              <w:pStyle w:val="TableParagraph"/>
              <w:ind w:left="82"/>
              <w:contextualSpacing/>
              <w:rPr>
                <w:rFonts w:cs="Arial"/>
                <w:sz w:val="20"/>
                <w:szCs w:val="20"/>
              </w:rPr>
            </w:pPr>
            <w:r w:rsidRPr="1D7746B0">
              <w:rPr>
                <w:rFonts w:cs="Arial"/>
                <w:b/>
                <w:bCs/>
                <w:sz w:val="20"/>
                <w:szCs w:val="20"/>
              </w:rPr>
              <w:t>STEP 2</w:t>
            </w:r>
            <w:r w:rsidRPr="1D7746B0">
              <w:rPr>
                <w:rFonts w:cs="Arial"/>
                <w:sz w:val="20"/>
                <w:szCs w:val="20"/>
              </w:rPr>
              <w:t xml:space="preserve"> Confirm whether an Advance Directive for Health Care exists. If so, determine whether it gives a directive about taking part in research.</w:t>
            </w:r>
          </w:p>
          <w:p w14:paraId="7B87D8E7" w14:textId="48339368" w:rsidR="009E5BE4" w:rsidRPr="00861F6D" w:rsidRDefault="43119A0A" w:rsidP="1D7746B0">
            <w:pPr>
              <w:pStyle w:val="TableParagraph"/>
              <w:ind w:left="82"/>
              <w:contextualSpacing/>
              <w:rPr>
                <w:rFonts w:cs="Arial"/>
                <w:b/>
                <w:bCs/>
                <w:i/>
                <w:iCs/>
                <w:sz w:val="20"/>
                <w:szCs w:val="20"/>
              </w:rPr>
            </w:pPr>
            <w:r w:rsidRPr="1D7746B0">
              <w:rPr>
                <w:rFonts w:cs="Arial"/>
                <w:b/>
                <w:bCs/>
                <w:i/>
                <w:iCs/>
                <w:sz w:val="20"/>
                <w:szCs w:val="20"/>
              </w:rPr>
              <w:t xml:space="preserve">Does the subject have an advance directive for healthcare that </w:t>
            </w:r>
            <w:r w:rsidR="0721E8AF" w:rsidRPr="1D7746B0">
              <w:rPr>
                <w:rFonts w:cs="Arial"/>
                <w:b/>
                <w:bCs/>
                <w:i/>
                <w:iCs/>
                <w:sz w:val="20"/>
                <w:szCs w:val="20"/>
              </w:rPr>
              <w:t>indicates whether</w:t>
            </w:r>
            <w:r w:rsidRPr="1D7746B0">
              <w:rPr>
                <w:rFonts w:cs="Arial"/>
                <w:b/>
                <w:bCs/>
                <w:i/>
                <w:iCs/>
                <w:sz w:val="20"/>
                <w:szCs w:val="20"/>
              </w:rPr>
              <w:t xml:space="preserve"> s/he </w:t>
            </w:r>
            <w:r w:rsidR="6AE932E5" w:rsidRPr="1D7746B0">
              <w:rPr>
                <w:rFonts w:cs="Arial"/>
                <w:b/>
                <w:bCs/>
                <w:i/>
                <w:iCs/>
                <w:sz w:val="20"/>
                <w:szCs w:val="20"/>
              </w:rPr>
              <w:t>would have any objections to taking part</w:t>
            </w:r>
            <w:r w:rsidRPr="1D7746B0">
              <w:rPr>
                <w:rFonts w:cs="Arial"/>
                <w:b/>
                <w:bCs/>
                <w:i/>
                <w:iCs/>
                <w:sz w:val="20"/>
                <w:szCs w:val="20"/>
              </w:rPr>
              <w:t xml:space="preserve"> in a research study?</w:t>
            </w:r>
          </w:p>
        </w:tc>
      </w:tr>
      <w:tr w:rsidR="009E5BE4" w:rsidRPr="00416D13" w14:paraId="3D557B1A" w14:textId="77777777" w:rsidTr="1D7746B0">
        <w:trPr>
          <w:trHeight w:val="71"/>
        </w:trPr>
        <w:sdt>
          <w:sdtPr>
            <w:rPr>
              <w:bCs/>
              <w:sz w:val="20"/>
              <w:szCs w:val="20"/>
            </w:rPr>
            <w:id w:val="-1286734372"/>
            <w14:checkbox>
              <w14:checked w14:val="0"/>
              <w14:checkedState w14:val="2612" w14:font="MS Gothic"/>
              <w14:uncheckedState w14:val="2610" w14:font="MS Gothic"/>
            </w14:checkbox>
          </w:sdtPr>
          <w:sdtEndPr/>
          <w:sdtContent>
            <w:tc>
              <w:tcPr>
                <w:tcW w:w="165" w:type="pct"/>
              </w:tcPr>
              <w:p w14:paraId="7DC72B6F"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Pr>
          <w:p w14:paraId="5CDA49FE" w14:textId="77777777" w:rsidR="009E5BE4" w:rsidRPr="00495D80" w:rsidRDefault="009E5BE4" w:rsidP="00D20074">
            <w:pPr>
              <w:pStyle w:val="TableParagraph"/>
              <w:ind w:left="89"/>
              <w:contextualSpacing/>
              <w:rPr>
                <w:rFonts w:cs="Arial"/>
                <w:bCs/>
                <w:color w:val="00B0F0"/>
                <w:sz w:val="20"/>
                <w:szCs w:val="20"/>
              </w:rPr>
            </w:pPr>
            <w:r w:rsidRPr="00416D13">
              <w:rPr>
                <w:rFonts w:cs="Arial"/>
                <w:bCs/>
                <w:sz w:val="20"/>
                <w:szCs w:val="20"/>
              </w:rPr>
              <w:t>YES</w:t>
            </w:r>
            <w:r>
              <w:rPr>
                <w:rFonts w:cs="Arial"/>
                <w:bCs/>
                <w:sz w:val="20"/>
                <w:szCs w:val="20"/>
              </w:rPr>
              <w:t>:</w:t>
            </w:r>
            <w:r w:rsidRPr="00416D13">
              <w:rPr>
                <w:rFonts w:cs="Arial"/>
                <w:bCs/>
                <w:sz w:val="20"/>
                <w:szCs w:val="20"/>
              </w:rPr>
              <w:t xml:space="preserve"> An advance directive exists and it indicates the potential subject would not want to take part in the proposed medical research.</w:t>
            </w:r>
            <w:r w:rsidRPr="00F672DB">
              <w:rPr>
                <w:rFonts w:cs="Arial"/>
                <w:bCs/>
                <w:sz w:val="20"/>
                <w:szCs w:val="20"/>
              </w:rPr>
              <w:t xml:space="preserve"> [</w:t>
            </w:r>
            <w:r w:rsidRPr="00F672DB">
              <w:rPr>
                <w:rFonts w:cs="Arial"/>
                <w:b/>
                <w:sz w:val="20"/>
                <w:szCs w:val="20"/>
              </w:rPr>
              <w:t>STOP</w:t>
            </w:r>
            <w:r w:rsidRPr="00F672DB">
              <w:rPr>
                <w:rFonts w:cs="Arial"/>
                <w:bCs/>
                <w:sz w:val="20"/>
                <w:szCs w:val="20"/>
              </w:rPr>
              <w:t>. Do not enroll the individual in the research against his/her wishes.]</w:t>
            </w:r>
          </w:p>
        </w:tc>
      </w:tr>
      <w:tr w:rsidR="009E5BE4" w:rsidRPr="00416D13" w14:paraId="48402F9C" w14:textId="77777777" w:rsidTr="1D7746B0">
        <w:trPr>
          <w:trHeight w:val="71"/>
        </w:trPr>
        <w:sdt>
          <w:sdtPr>
            <w:rPr>
              <w:bCs/>
              <w:sz w:val="20"/>
              <w:szCs w:val="20"/>
            </w:rPr>
            <w:id w:val="-916018293"/>
            <w14:checkbox>
              <w14:checked w14:val="0"/>
              <w14:checkedState w14:val="2612" w14:font="MS Gothic"/>
              <w14:uncheckedState w14:val="2610" w14:font="MS Gothic"/>
            </w14:checkbox>
          </w:sdtPr>
          <w:sdtEndPr/>
          <w:sdtContent>
            <w:tc>
              <w:tcPr>
                <w:tcW w:w="165" w:type="pct"/>
                <w:tcBorders>
                  <w:bottom w:val="single" w:sz="24" w:space="0" w:color="000000" w:themeColor="text1"/>
                </w:tcBorders>
              </w:tcPr>
              <w:p w14:paraId="13606885"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Borders>
              <w:bottom w:val="single" w:sz="24" w:space="0" w:color="000000" w:themeColor="text1"/>
            </w:tcBorders>
          </w:tcPr>
          <w:p w14:paraId="74966226" w14:textId="77777777" w:rsidR="009E5BE4" w:rsidRPr="00495D80" w:rsidRDefault="43119A0A" w:rsidP="1D7746B0">
            <w:pPr>
              <w:pStyle w:val="TableParagraph"/>
              <w:ind w:left="89"/>
              <w:contextualSpacing/>
              <w:rPr>
                <w:rFonts w:cs="Arial"/>
                <w:sz w:val="20"/>
                <w:szCs w:val="20"/>
              </w:rPr>
            </w:pPr>
            <w:r w:rsidRPr="1D7746B0">
              <w:rPr>
                <w:rFonts w:cs="Arial"/>
                <w:sz w:val="20"/>
                <w:szCs w:val="20"/>
              </w:rPr>
              <w:t xml:space="preserve">NO: An advance directive for healthcare does not exist </w:t>
            </w:r>
            <w:r w:rsidRPr="1D7746B0">
              <w:rPr>
                <w:rFonts w:cs="Arial"/>
                <w:b/>
                <w:bCs/>
                <w:sz w:val="20"/>
                <w:szCs w:val="20"/>
                <w:u w:val="single"/>
              </w:rPr>
              <w:t>OR</w:t>
            </w:r>
            <w:r w:rsidRPr="1D7746B0">
              <w:rPr>
                <w:rFonts w:cs="Arial"/>
                <w:sz w:val="20"/>
                <w:szCs w:val="20"/>
              </w:rPr>
              <w:t xml:space="preserve"> an advance directive exists but it does not indicate that the subject would object to taking part in the proposed medical research. [</w:t>
            </w:r>
            <w:r w:rsidRPr="1D7746B0">
              <w:rPr>
                <w:rFonts w:cs="Arial"/>
                <w:b/>
                <w:bCs/>
                <w:sz w:val="20"/>
                <w:szCs w:val="20"/>
              </w:rPr>
              <w:t>Proceed</w:t>
            </w:r>
            <w:r w:rsidRPr="1D7746B0">
              <w:rPr>
                <w:rFonts w:cs="Arial"/>
                <w:sz w:val="20"/>
                <w:szCs w:val="20"/>
              </w:rPr>
              <w:t xml:space="preserve"> to Step 3.]</w:t>
            </w:r>
          </w:p>
        </w:tc>
      </w:tr>
      <w:tr w:rsidR="009E5BE4" w:rsidRPr="00416D13" w14:paraId="567B8ACA" w14:textId="77777777" w:rsidTr="1D7746B0">
        <w:trPr>
          <w:trHeight w:val="71"/>
        </w:trPr>
        <w:tc>
          <w:tcPr>
            <w:tcW w:w="5000" w:type="pct"/>
            <w:gridSpan w:val="2"/>
            <w:tcBorders>
              <w:top w:val="single" w:sz="24" w:space="0" w:color="000000" w:themeColor="text1"/>
            </w:tcBorders>
          </w:tcPr>
          <w:p w14:paraId="616F4B69" w14:textId="77777777" w:rsidR="009E5BE4" w:rsidRPr="00416D13" w:rsidRDefault="009E5BE4" w:rsidP="00D20074">
            <w:pPr>
              <w:pStyle w:val="TableParagraph"/>
              <w:ind w:left="82"/>
              <w:contextualSpacing/>
              <w:rPr>
                <w:rFonts w:cs="Arial"/>
                <w:bCs/>
                <w:sz w:val="20"/>
                <w:szCs w:val="20"/>
              </w:rPr>
            </w:pPr>
            <w:r w:rsidRPr="00505A9C">
              <w:rPr>
                <w:rFonts w:cs="Arial"/>
                <w:b/>
                <w:sz w:val="20"/>
                <w:szCs w:val="20"/>
              </w:rPr>
              <w:t>STEP 3</w:t>
            </w:r>
            <w:r w:rsidRPr="00416D13">
              <w:rPr>
                <w:rFonts w:cs="Arial"/>
                <w:bCs/>
                <w:sz w:val="20"/>
                <w:szCs w:val="20"/>
              </w:rPr>
              <w:t xml:space="preserve"> Obtain a determination of a subject’s capacity to consent to research from a physician independent of the research.</w:t>
            </w:r>
          </w:p>
          <w:p w14:paraId="05ACEFE3" w14:textId="77777777" w:rsidR="009E5BE4" w:rsidRPr="00861F6D" w:rsidRDefault="009E5BE4" w:rsidP="00D20074">
            <w:pPr>
              <w:pStyle w:val="TableParagraph"/>
              <w:ind w:left="82"/>
              <w:contextualSpacing/>
              <w:rPr>
                <w:rFonts w:cs="Arial"/>
                <w:b/>
                <w:i/>
                <w:iCs/>
                <w:sz w:val="20"/>
                <w:szCs w:val="20"/>
              </w:rPr>
            </w:pPr>
            <w:r w:rsidRPr="00861F6D">
              <w:rPr>
                <w:rFonts w:cs="Arial"/>
                <w:b/>
                <w:i/>
                <w:iCs/>
                <w:sz w:val="20"/>
                <w:szCs w:val="20"/>
              </w:rPr>
              <w:t>Has a physician, independent of the research, determined that the subject lacks the capacity to consent to the research, and the extent and duration of the incapacity?</w:t>
            </w:r>
          </w:p>
        </w:tc>
      </w:tr>
      <w:tr w:rsidR="009E5BE4" w:rsidRPr="00416D13" w14:paraId="552D99E7" w14:textId="77777777" w:rsidTr="1D7746B0">
        <w:trPr>
          <w:trHeight w:val="71"/>
        </w:trPr>
        <w:sdt>
          <w:sdtPr>
            <w:rPr>
              <w:bCs/>
              <w:sz w:val="20"/>
              <w:szCs w:val="20"/>
            </w:rPr>
            <w:id w:val="-1152523581"/>
            <w14:checkbox>
              <w14:checked w14:val="0"/>
              <w14:checkedState w14:val="2612" w14:font="MS Gothic"/>
              <w14:uncheckedState w14:val="2610" w14:font="MS Gothic"/>
            </w14:checkbox>
          </w:sdtPr>
          <w:sdtEndPr/>
          <w:sdtContent>
            <w:tc>
              <w:tcPr>
                <w:tcW w:w="165" w:type="pct"/>
                <w:vAlign w:val="center"/>
              </w:tcPr>
              <w:p w14:paraId="5C88517B"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Pr>
          <w:p w14:paraId="74AABD50" w14:textId="2009191E" w:rsidR="009E5BE4" w:rsidRPr="00495D80" w:rsidRDefault="43119A0A" w:rsidP="1D7746B0">
            <w:pPr>
              <w:pStyle w:val="TableParagraph"/>
              <w:tabs>
                <w:tab w:val="left" w:pos="470"/>
              </w:tabs>
              <w:ind w:left="89" w:right="78"/>
              <w:contextualSpacing/>
              <w:rPr>
                <w:rFonts w:cs="Arial"/>
                <w:sz w:val="20"/>
                <w:szCs w:val="20"/>
              </w:rPr>
            </w:pPr>
            <w:r w:rsidRPr="1D7746B0">
              <w:rPr>
                <w:rFonts w:cs="Arial"/>
                <w:sz w:val="20"/>
                <w:szCs w:val="20"/>
              </w:rPr>
              <w:t xml:space="preserve">YES: A physician independent of the research has determined that the subject lacks the capacity to consent to research, the extent of the subject’s incapacity, and the likelihood that s/he will regain decision-making capacity with a reasonable degree of medical certainty. Note: Be </w:t>
            </w:r>
            <w:r w:rsidRPr="1D7746B0">
              <w:rPr>
                <w:rFonts w:cs="Arial"/>
                <w:sz w:val="20"/>
                <w:szCs w:val="20"/>
              </w:rPr>
              <w:lastRenderedPageBreak/>
              <w:t xml:space="preserve">sure the physician documents his/her determination </w:t>
            </w:r>
            <w:r w:rsidR="1C1C33F4" w:rsidRPr="1D7746B0">
              <w:rPr>
                <w:rFonts w:cs="Arial"/>
                <w:sz w:val="20"/>
                <w:szCs w:val="20"/>
              </w:rPr>
              <w:t xml:space="preserve">in the record </w:t>
            </w:r>
            <w:r w:rsidR="40572D0E" w:rsidRPr="1D7746B0">
              <w:rPr>
                <w:rFonts w:cs="Arial"/>
                <w:sz w:val="20"/>
                <w:szCs w:val="20"/>
              </w:rPr>
              <w:t>according to clinical site requirements</w:t>
            </w:r>
            <w:r w:rsidR="7C733990" w:rsidRPr="1D7746B0">
              <w:rPr>
                <w:rFonts w:cs="Arial"/>
                <w:sz w:val="20"/>
                <w:szCs w:val="20"/>
              </w:rPr>
              <w:t>.</w:t>
            </w:r>
            <w:r w:rsidR="3BC6751E" w:rsidRPr="1D7746B0">
              <w:rPr>
                <w:rFonts w:cs="Arial"/>
                <w:sz w:val="20"/>
                <w:szCs w:val="20"/>
              </w:rPr>
              <w:t xml:space="preserve"> </w:t>
            </w:r>
            <w:r w:rsidR="1F2A633F" w:rsidRPr="1D7746B0">
              <w:rPr>
                <w:rFonts w:cs="Arial"/>
                <w:sz w:val="20"/>
                <w:szCs w:val="20"/>
              </w:rPr>
              <w:t xml:space="preserve">Make clear in the protocol where </w:t>
            </w:r>
            <w:r w:rsidR="275C9009" w:rsidRPr="1D7746B0">
              <w:rPr>
                <w:rFonts w:cs="Arial"/>
                <w:sz w:val="20"/>
                <w:szCs w:val="20"/>
              </w:rPr>
              <w:t>the physician’s</w:t>
            </w:r>
            <w:r w:rsidR="1F2A633F" w:rsidRPr="1D7746B0">
              <w:rPr>
                <w:rFonts w:cs="Arial"/>
                <w:sz w:val="20"/>
                <w:szCs w:val="20"/>
              </w:rPr>
              <w:t xml:space="preserve"> assessment will be documented.</w:t>
            </w:r>
            <w:r w:rsidRPr="1D7746B0">
              <w:rPr>
                <w:rFonts w:cs="Arial"/>
                <w:sz w:val="20"/>
                <w:szCs w:val="20"/>
              </w:rPr>
              <w:t xml:space="preserve"> [</w:t>
            </w:r>
            <w:r w:rsidRPr="1D7746B0">
              <w:rPr>
                <w:rFonts w:cs="Arial"/>
                <w:b/>
                <w:bCs/>
                <w:sz w:val="20"/>
                <w:szCs w:val="20"/>
              </w:rPr>
              <w:t>Proceed</w:t>
            </w:r>
            <w:r w:rsidRPr="1D7746B0">
              <w:rPr>
                <w:rFonts w:cs="Arial"/>
                <w:sz w:val="20"/>
                <w:szCs w:val="20"/>
              </w:rPr>
              <w:t xml:space="preserve"> to Step 4.]</w:t>
            </w:r>
          </w:p>
        </w:tc>
      </w:tr>
      <w:tr w:rsidR="009E5BE4" w:rsidRPr="00416D13" w14:paraId="205FBD41" w14:textId="77777777" w:rsidTr="1D7746B0">
        <w:trPr>
          <w:trHeight w:val="71"/>
        </w:trPr>
        <w:sdt>
          <w:sdtPr>
            <w:rPr>
              <w:bCs/>
              <w:sz w:val="20"/>
              <w:szCs w:val="20"/>
            </w:rPr>
            <w:id w:val="-677587772"/>
            <w14:checkbox>
              <w14:checked w14:val="0"/>
              <w14:checkedState w14:val="2612" w14:font="MS Gothic"/>
              <w14:uncheckedState w14:val="2610" w14:font="MS Gothic"/>
            </w14:checkbox>
          </w:sdtPr>
          <w:sdtEndPr/>
          <w:sdtContent>
            <w:tc>
              <w:tcPr>
                <w:tcW w:w="165" w:type="pct"/>
                <w:tcBorders>
                  <w:bottom w:val="single" w:sz="24" w:space="0" w:color="000000" w:themeColor="text1"/>
                </w:tcBorders>
              </w:tcPr>
              <w:p w14:paraId="517605DD"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Borders>
              <w:bottom w:val="single" w:sz="24" w:space="0" w:color="000000" w:themeColor="text1"/>
            </w:tcBorders>
          </w:tcPr>
          <w:p w14:paraId="37CBCC0C" w14:textId="795088C0" w:rsidR="009E5BE4" w:rsidRPr="00495D80" w:rsidRDefault="009E5BE4" w:rsidP="009E5BE4">
            <w:pPr>
              <w:pStyle w:val="TableParagraph"/>
              <w:ind w:left="89" w:right="78"/>
              <w:contextualSpacing/>
              <w:rPr>
                <w:rFonts w:cs="Arial"/>
                <w:bCs/>
                <w:color w:val="00B0F0"/>
                <w:sz w:val="20"/>
                <w:szCs w:val="20"/>
              </w:rPr>
            </w:pPr>
            <w:r w:rsidRPr="00416D13">
              <w:rPr>
                <w:rFonts w:cs="Arial"/>
                <w:bCs/>
                <w:sz w:val="20"/>
                <w:szCs w:val="20"/>
              </w:rPr>
              <w:t>NO</w:t>
            </w:r>
            <w:r>
              <w:rPr>
                <w:rFonts w:cs="Arial"/>
                <w:bCs/>
                <w:sz w:val="20"/>
                <w:szCs w:val="20"/>
              </w:rPr>
              <w:t>:</w:t>
            </w:r>
            <w:r w:rsidRPr="00416D13">
              <w:rPr>
                <w:rFonts w:cs="Arial"/>
                <w:bCs/>
                <w:sz w:val="20"/>
                <w:szCs w:val="20"/>
              </w:rPr>
              <w:t xml:space="preserve"> A physician independent of the research has not made a determination of lack of capacity to consent to research </w:t>
            </w:r>
            <w:r w:rsidRPr="00F672DB">
              <w:rPr>
                <w:rFonts w:cs="Arial"/>
                <w:bCs/>
                <w:sz w:val="20"/>
                <w:szCs w:val="20"/>
              </w:rPr>
              <w:t>[</w:t>
            </w:r>
            <w:r w:rsidRPr="00F672DB">
              <w:rPr>
                <w:rFonts w:cs="Arial"/>
                <w:b/>
                <w:sz w:val="20"/>
                <w:szCs w:val="20"/>
              </w:rPr>
              <w:t>STOP</w:t>
            </w:r>
            <w:r w:rsidRPr="00F672DB">
              <w:rPr>
                <w:rFonts w:cs="Arial"/>
                <w:bCs/>
                <w:sz w:val="20"/>
                <w:szCs w:val="20"/>
              </w:rPr>
              <w:t>. Do not enroll the potential subject in research or secure surrogate consent until such time as a determination of lack of capacity to consent to research</w:t>
            </w:r>
            <w:r w:rsidR="008632F4">
              <w:rPr>
                <w:rFonts w:cs="Arial"/>
                <w:bCs/>
                <w:sz w:val="20"/>
                <w:szCs w:val="20"/>
              </w:rPr>
              <w:t xml:space="preserve"> has been made</w:t>
            </w:r>
            <w:r w:rsidRPr="00F672DB">
              <w:rPr>
                <w:rFonts w:cs="Arial"/>
                <w:bCs/>
                <w:sz w:val="20"/>
                <w:szCs w:val="20"/>
              </w:rPr>
              <w:t xml:space="preserve">.] </w:t>
            </w:r>
          </w:p>
        </w:tc>
      </w:tr>
      <w:tr w:rsidR="009E5BE4" w:rsidRPr="00416D13" w14:paraId="62203136" w14:textId="77777777" w:rsidTr="1D7746B0">
        <w:trPr>
          <w:trHeight w:val="71"/>
        </w:trPr>
        <w:tc>
          <w:tcPr>
            <w:tcW w:w="5000" w:type="pct"/>
            <w:gridSpan w:val="2"/>
            <w:tcBorders>
              <w:top w:val="single" w:sz="24" w:space="0" w:color="000000" w:themeColor="text1"/>
            </w:tcBorders>
          </w:tcPr>
          <w:p w14:paraId="13EC38BD" w14:textId="5E0BCABE" w:rsidR="009E5BE4" w:rsidRDefault="009E5BE4" w:rsidP="009E5BE4">
            <w:pPr>
              <w:pStyle w:val="TableParagraph"/>
              <w:ind w:left="82" w:right="78"/>
              <w:contextualSpacing/>
              <w:rPr>
                <w:rFonts w:cs="Arial"/>
                <w:bCs/>
                <w:sz w:val="20"/>
                <w:szCs w:val="20"/>
              </w:rPr>
            </w:pPr>
            <w:r w:rsidRPr="00861F6D">
              <w:rPr>
                <w:rFonts w:cs="Arial"/>
                <w:b/>
                <w:sz w:val="20"/>
                <w:szCs w:val="20"/>
              </w:rPr>
              <w:t>STEP 4</w:t>
            </w:r>
            <w:r w:rsidRPr="00416D13">
              <w:rPr>
                <w:rFonts w:cs="Arial"/>
                <w:bCs/>
                <w:sz w:val="20"/>
                <w:szCs w:val="20"/>
              </w:rPr>
              <w:t xml:space="preserve"> Provide the decision of determination of incapacity to the subject and to at least one person at the highest level reasonably available on the list of surrogates. </w:t>
            </w:r>
            <w:r w:rsidR="00697EF3">
              <w:rPr>
                <w:rFonts w:cs="Arial"/>
                <w:bCs/>
                <w:sz w:val="20"/>
                <w:szCs w:val="20"/>
              </w:rPr>
              <w:t xml:space="preserve">[See </w:t>
            </w:r>
            <w:r w:rsidR="00697EF3" w:rsidRPr="00276540">
              <w:rPr>
                <w:rFonts w:cs="Arial"/>
                <w:b/>
                <w:bCs/>
                <w:sz w:val="20"/>
                <w:szCs w:val="20"/>
              </w:rPr>
              <w:t>HRP-391 WORKSHEET: Surrogate Consent – Selecting a Surrogate</w:t>
            </w:r>
            <w:r w:rsidR="00276540">
              <w:rPr>
                <w:rFonts w:cs="Arial"/>
                <w:b/>
                <w:bCs/>
                <w:sz w:val="20"/>
                <w:szCs w:val="20"/>
              </w:rPr>
              <w:t xml:space="preserve"> </w:t>
            </w:r>
            <w:r w:rsidR="00276540">
              <w:rPr>
                <w:rFonts w:cs="Arial"/>
                <w:bCs/>
                <w:sz w:val="20"/>
                <w:szCs w:val="20"/>
              </w:rPr>
              <w:t>for instructions on how to select a Surrogate</w:t>
            </w:r>
            <w:r w:rsidR="002808CC">
              <w:rPr>
                <w:rFonts w:cs="Arial"/>
                <w:bCs/>
                <w:sz w:val="20"/>
                <w:szCs w:val="20"/>
              </w:rPr>
              <w:t xml:space="preserve"> in highest order of priority per State law</w:t>
            </w:r>
            <w:r w:rsidR="00276540">
              <w:rPr>
                <w:rFonts w:cs="Arial"/>
                <w:bCs/>
                <w:sz w:val="20"/>
                <w:szCs w:val="20"/>
              </w:rPr>
              <w:t>.</w:t>
            </w:r>
            <w:r w:rsidR="00697EF3">
              <w:rPr>
                <w:rFonts w:cs="Arial"/>
                <w:bCs/>
                <w:sz w:val="20"/>
                <w:szCs w:val="20"/>
              </w:rPr>
              <w:t>]</w:t>
            </w:r>
          </w:p>
          <w:p w14:paraId="68496122" w14:textId="77777777" w:rsidR="009E5BE4" w:rsidRPr="00861F6D" w:rsidRDefault="009E5BE4" w:rsidP="009E5BE4">
            <w:pPr>
              <w:pStyle w:val="TableParagraph"/>
              <w:ind w:left="82" w:right="78"/>
              <w:contextualSpacing/>
              <w:rPr>
                <w:rFonts w:cs="Arial"/>
                <w:b/>
                <w:i/>
                <w:iCs/>
                <w:sz w:val="20"/>
                <w:szCs w:val="20"/>
              </w:rPr>
            </w:pPr>
            <w:r w:rsidRPr="00861F6D">
              <w:rPr>
                <w:rFonts w:cs="Arial"/>
                <w:b/>
                <w:i/>
                <w:iCs/>
                <w:sz w:val="20"/>
                <w:szCs w:val="20"/>
              </w:rPr>
              <w:t>Has the investigator provided the determination of incapacity to the subject and to a surrogate in the hierarchy of priority and the subject does not object to the determination of incapacity or to taking part in the research?</w:t>
            </w:r>
          </w:p>
        </w:tc>
      </w:tr>
      <w:tr w:rsidR="009E5BE4" w:rsidRPr="00416D13" w14:paraId="701BE507" w14:textId="77777777" w:rsidTr="1D7746B0">
        <w:trPr>
          <w:trHeight w:val="71"/>
        </w:trPr>
        <w:sdt>
          <w:sdtPr>
            <w:rPr>
              <w:bCs/>
              <w:sz w:val="20"/>
              <w:szCs w:val="20"/>
            </w:rPr>
            <w:id w:val="1619636750"/>
            <w14:checkbox>
              <w14:checked w14:val="0"/>
              <w14:checkedState w14:val="2612" w14:font="MS Gothic"/>
              <w14:uncheckedState w14:val="2610" w14:font="MS Gothic"/>
            </w14:checkbox>
          </w:sdtPr>
          <w:sdtEndPr/>
          <w:sdtContent>
            <w:tc>
              <w:tcPr>
                <w:tcW w:w="165" w:type="pct"/>
              </w:tcPr>
              <w:p w14:paraId="080CD8FC"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Pr>
          <w:p w14:paraId="6FECF264" w14:textId="496C7D15" w:rsidR="009E5BE4" w:rsidRPr="00495D80" w:rsidRDefault="009E5BE4" w:rsidP="009E5BE4">
            <w:pPr>
              <w:pStyle w:val="TableParagraph"/>
              <w:ind w:left="89" w:right="78"/>
              <w:contextualSpacing/>
              <w:rPr>
                <w:rFonts w:cs="Arial"/>
                <w:bCs/>
                <w:color w:val="00B0F0"/>
                <w:sz w:val="20"/>
                <w:szCs w:val="20"/>
              </w:rPr>
            </w:pPr>
            <w:r w:rsidRPr="00416D13">
              <w:rPr>
                <w:rFonts w:cs="Arial"/>
                <w:bCs/>
                <w:sz w:val="20"/>
                <w:szCs w:val="20"/>
              </w:rPr>
              <w:t>YES</w:t>
            </w:r>
            <w:r>
              <w:rPr>
                <w:rFonts w:cs="Arial"/>
                <w:bCs/>
                <w:sz w:val="20"/>
                <w:szCs w:val="20"/>
              </w:rPr>
              <w:t>:</w:t>
            </w:r>
            <w:r w:rsidRPr="00416D13">
              <w:rPr>
                <w:rFonts w:cs="Arial"/>
                <w:bCs/>
                <w:sz w:val="20"/>
                <w:szCs w:val="20"/>
              </w:rPr>
              <w:t xml:space="preserve"> The determination of incapacity to consent to research has been given to the subject and a surrogate. The subject does not object to the determination of incapacity or to taking part in the research. </w:t>
            </w:r>
            <w:r w:rsidR="00AF6F36">
              <w:rPr>
                <w:rFonts w:cs="Arial"/>
                <w:bCs/>
                <w:sz w:val="20"/>
                <w:szCs w:val="20"/>
              </w:rPr>
              <w:t>[</w:t>
            </w:r>
            <w:r w:rsidR="00AF6F36" w:rsidRPr="00AF6F36">
              <w:rPr>
                <w:rFonts w:cs="Arial"/>
                <w:b/>
                <w:bCs/>
                <w:sz w:val="20"/>
                <w:szCs w:val="20"/>
              </w:rPr>
              <w:t>Proceed</w:t>
            </w:r>
            <w:r w:rsidR="00AF6F36">
              <w:rPr>
                <w:rFonts w:cs="Arial"/>
                <w:bCs/>
                <w:sz w:val="20"/>
                <w:szCs w:val="20"/>
              </w:rPr>
              <w:t xml:space="preserve"> to Obtaining Surrogate Consent &amp; Subject Assent] See </w:t>
            </w:r>
            <w:r w:rsidR="00AF6F36" w:rsidRPr="00AF6F36">
              <w:rPr>
                <w:rFonts w:cs="Arial"/>
                <w:b/>
                <w:bCs/>
                <w:sz w:val="20"/>
                <w:szCs w:val="20"/>
              </w:rPr>
              <w:t>Rutgers Guidance for Surrogate Consent</w:t>
            </w:r>
            <w:r w:rsidR="00AF6F36">
              <w:rPr>
                <w:rFonts w:cs="Arial"/>
                <w:bCs/>
                <w:sz w:val="20"/>
                <w:szCs w:val="20"/>
              </w:rPr>
              <w:t xml:space="preserve"> for more information.</w:t>
            </w:r>
          </w:p>
        </w:tc>
      </w:tr>
      <w:tr w:rsidR="009E5BE4" w:rsidRPr="00416D13" w14:paraId="613E0209" w14:textId="77777777" w:rsidTr="1D7746B0">
        <w:trPr>
          <w:trHeight w:val="71"/>
        </w:trPr>
        <w:sdt>
          <w:sdtPr>
            <w:rPr>
              <w:bCs/>
              <w:sz w:val="20"/>
              <w:szCs w:val="20"/>
            </w:rPr>
            <w:id w:val="-989939180"/>
            <w14:checkbox>
              <w14:checked w14:val="0"/>
              <w14:checkedState w14:val="2612" w14:font="MS Gothic"/>
              <w14:uncheckedState w14:val="2610" w14:font="MS Gothic"/>
            </w14:checkbox>
          </w:sdtPr>
          <w:sdtEndPr/>
          <w:sdtContent>
            <w:tc>
              <w:tcPr>
                <w:tcW w:w="165" w:type="pct"/>
              </w:tcPr>
              <w:p w14:paraId="792E43BD" w14:textId="77777777" w:rsidR="009E5BE4" w:rsidRPr="00416D13" w:rsidRDefault="009E5BE4" w:rsidP="00D20074">
                <w:pPr>
                  <w:pStyle w:val="TableParagraph"/>
                  <w:tabs>
                    <w:tab w:val="left" w:pos="6594"/>
                  </w:tabs>
                  <w:ind w:left="83"/>
                  <w:contextualSpacing/>
                  <w:rPr>
                    <w:bCs/>
                    <w:sz w:val="20"/>
                    <w:szCs w:val="20"/>
                  </w:rPr>
                </w:pPr>
                <w:r>
                  <w:rPr>
                    <w:rFonts w:ascii="MS Gothic" w:eastAsia="MS Gothic" w:hAnsi="MS Gothic" w:hint="eastAsia"/>
                    <w:bCs/>
                    <w:sz w:val="20"/>
                    <w:szCs w:val="20"/>
                  </w:rPr>
                  <w:t>☐</w:t>
                </w:r>
              </w:p>
            </w:tc>
          </w:sdtContent>
        </w:sdt>
        <w:tc>
          <w:tcPr>
            <w:tcW w:w="4835" w:type="pct"/>
          </w:tcPr>
          <w:p w14:paraId="7EE98FC9" w14:textId="59AD9CD7" w:rsidR="009E5BE4" w:rsidRPr="00495D80" w:rsidRDefault="43119A0A" w:rsidP="1D7746B0">
            <w:pPr>
              <w:pStyle w:val="TableParagraph"/>
              <w:ind w:left="89"/>
              <w:contextualSpacing/>
              <w:rPr>
                <w:rFonts w:cs="Arial"/>
                <w:sz w:val="20"/>
                <w:szCs w:val="20"/>
              </w:rPr>
            </w:pPr>
            <w:r w:rsidRPr="1D7746B0">
              <w:rPr>
                <w:rFonts w:cs="Arial"/>
                <w:sz w:val="20"/>
                <w:szCs w:val="20"/>
              </w:rPr>
              <w:t xml:space="preserve">NO: The determination has not been disclosed </w:t>
            </w:r>
            <w:r w:rsidRPr="1D7746B0">
              <w:rPr>
                <w:rFonts w:cs="Arial"/>
                <w:sz w:val="20"/>
                <w:szCs w:val="20"/>
                <w:u w:val="single"/>
              </w:rPr>
              <w:t>OR</w:t>
            </w:r>
            <w:r w:rsidRPr="1D7746B0">
              <w:rPr>
                <w:rFonts w:cs="Arial"/>
                <w:sz w:val="20"/>
                <w:szCs w:val="20"/>
              </w:rPr>
              <w:t xml:space="preserve"> the determination has been disclosed to the subject and the surrogate but the subject objects to the determination of incapacity or to take part in the research. [</w:t>
            </w:r>
            <w:r w:rsidRPr="1D7746B0">
              <w:rPr>
                <w:rFonts w:cs="Arial"/>
                <w:b/>
                <w:bCs/>
                <w:sz w:val="20"/>
                <w:szCs w:val="20"/>
              </w:rPr>
              <w:t>STOP</w:t>
            </w:r>
            <w:r w:rsidRPr="1D7746B0">
              <w:rPr>
                <w:rFonts w:cs="Arial"/>
                <w:sz w:val="20"/>
                <w:szCs w:val="20"/>
              </w:rPr>
              <w:t xml:space="preserve">. Do not enroll the potential subject in research against </w:t>
            </w:r>
            <w:r w:rsidR="621FD7A3" w:rsidRPr="1D7746B0">
              <w:rPr>
                <w:rFonts w:cs="Arial"/>
                <w:sz w:val="20"/>
                <w:szCs w:val="20"/>
              </w:rPr>
              <w:t>her/his</w:t>
            </w:r>
            <w:r w:rsidRPr="1D7746B0">
              <w:rPr>
                <w:rFonts w:cs="Arial"/>
                <w:sz w:val="20"/>
                <w:szCs w:val="20"/>
              </w:rPr>
              <w:t xml:space="preserve"> wishes.] </w:t>
            </w:r>
          </w:p>
        </w:tc>
      </w:tr>
    </w:tbl>
    <w:p w14:paraId="35B8F492" w14:textId="77777777" w:rsidR="00F51C4D" w:rsidRPr="00C21B38" w:rsidRDefault="00F51C4D">
      <w:pPr>
        <w:rPr>
          <w:sz w:val="20"/>
          <w:szCs w:val="20"/>
        </w:rPr>
      </w:pPr>
    </w:p>
    <w:p w14:paraId="2AA5AD4C" w14:textId="77777777" w:rsidR="004E241C" w:rsidRPr="00416D13" w:rsidRDefault="004E241C" w:rsidP="00D33BDA">
      <w:pPr>
        <w:pStyle w:val="BodyText"/>
        <w:ind w:right="179"/>
        <w:rPr>
          <w:bCs/>
          <w:i/>
        </w:rPr>
      </w:pPr>
    </w:p>
    <w:sectPr w:rsidR="004E241C" w:rsidRPr="00416D13" w:rsidSect="00F963EA">
      <w:headerReference w:type="default" r:id="rId7"/>
      <w:footerReference w:type="default" r:id="rId8"/>
      <w:pgSz w:w="12240" w:h="15840"/>
      <w:pgMar w:top="720" w:right="720" w:bottom="720" w:left="720" w:header="5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0CDC" w14:textId="77777777" w:rsidR="00BC3A2B" w:rsidRDefault="00BC3A2B">
      <w:r>
        <w:separator/>
      </w:r>
    </w:p>
  </w:endnote>
  <w:endnote w:type="continuationSeparator" w:id="0">
    <w:p w14:paraId="56B33719" w14:textId="77777777" w:rsidR="00BC3A2B" w:rsidRDefault="00BC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39EED7AA" w14:paraId="7B1D3192" w14:textId="77777777" w:rsidTr="39EED7AA">
      <w:tc>
        <w:tcPr>
          <w:tcW w:w="3600" w:type="dxa"/>
        </w:tcPr>
        <w:p w14:paraId="29C66102" w14:textId="4FC239C0" w:rsidR="39EED7AA" w:rsidRDefault="39EED7AA" w:rsidP="39EED7AA">
          <w:pPr>
            <w:pStyle w:val="Header"/>
            <w:ind w:left="-115"/>
          </w:pPr>
        </w:p>
      </w:tc>
      <w:tc>
        <w:tcPr>
          <w:tcW w:w="3600" w:type="dxa"/>
        </w:tcPr>
        <w:p w14:paraId="738CC051" w14:textId="5A9DE49D" w:rsidR="39EED7AA" w:rsidRDefault="39EED7AA" w:rsidP="39EED7AA">
          <w:pPr>
            <w:pStyle w:val="Header"/>
            <w:jc w:val="center"/>
          </w:pPr>
        </w:p>
      </w:tc>
      <w:tc>
        <w:tcPr>
          <w:tcW w:w="3600" w:type="dxa"/>
        </w:tcPr>
        <w:p w14:paraId="52113495" w14:textId="66BD9C5C" w:rsidR="39EED7AA" w:rsidRDefault="39EED7AA" w:rsidP="39EED7AA">
          <w:pPr>
            <w:pStyle w:val="Header"/>
            <w:ind w:right="-115"/>
            <w:jc w:val="right"/>
          </w:pPr>
        </w:p>
      </w:tc>
    </w:tr>
  </w:tbl>
  <w:p w14:paraId="6D1D5FC6" w14:textId="5D89D09A" w:rsidR="39EED7AA" w:rsidRDefault="39EED7AA" w:rsidP="39EED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BEC6" w14:textId="77777777" w:rsidR="00BC3A2B" w:rsidRDefault="00BC3A2B">
      <w:r>
        <w:separator/>
      </w:r>
    </w:p>
  </w:footnote>
  <w:footnote w:type="continuationSeparator" w:id="0">
    <w:p w14:paraId="058C8B95" w14:textId="77777777" w:rsidR="00BC3A2B" w:rsidRDefault="00BC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8C89" w14:textId="77777777" w:rsidR="00D33BDA" w:rsidRDefault="00D33BDA"/>
  <w:tbl>
    <w:tblPr>
      <w:tblW w:w="1079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2492"/>
      <w:gridCol w:w="2492"/>
      <w:gridCol w:w="2493"/>
    </w:tblGrid>
    <w:tr w:rsidR="00D33BDA" w:rsidRPr="00F51C4D" w14:paraId="7282300B" w14:textId="77777777" w:rsidTr="00EE4F9D">
      <w:trPr>
        <w:trHeight w:val="440"/>
      </w:trPr>
      <w:tc>
        <w:tcPr>
          <w:tcW w:w="3315" w:type="dxa"/>
          <w:vMerge w:val="restart"/>
          <w:tcBorders>
            <w:top w:val="nil"/>
            <w:left w:val="nil"/>
            <w:bottom w:val="nil"/>
            <w:right w:val="single" w:sz="4" w:space="0" w:color="auto"/>
          </w:tcBorders>
        </w:tcPr>
        <w:p w14:paraId="5E5CD52C" w14:textId="77777777" w:rsidR="00D33BDA" w:rsidRDefault="1D7746B0" w:rsidP="00EE4F9D">
          <w:pPr>
            <w:jc w:val="center"/>
            <w:rPr>
              <w:rFonts w:ascii="Times New Roman"/>
              <w:sz w:val="18"/>
            </w:rPr>
          </w:pPr>
          <w:r>
            <w:rPr>
              <w:noProof/>
              <w:lang w:bidi="ar-SA"/>
            </w:rPr>
            <w:drawing>
              <wp:inline distT="0" distB="0" distL="0" distR="0" wp14:anchorId="14A0FEAF" wp14:editId="3288B93E">
                <wp:extent cx="1478605" cy="518809"/>
                <wp:effectExtent l="0" t="0" r="0" b="0"/>
                <wp:docPr id="1592743734"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8605" cy="518809"/>
                        </a:xfrm>
                        <a:prstGeom prst="rect">
                          <a:avLst/>
                        </a:prstGeom>
                      </pic:spPr>
                    </pic:pic>
                  </a:graphicData>
                </a:graphic>
              </wp:inline>
            </w:drawing>
          </w:r>
        </w:p>
        <w:p w14:paraId="623D48B2" w14:textId="18C87C7F" w:rsidR="00BC5BEB" w:rsidRPr="00BC5BEB" w:rsidRDefault="00BC5BEB" w:rsidP="00BC5BEB">
          <w:pPr>
            <w:jc w:val="right"/>
            <w:rPr>
              <w:rFonts w:ascii="Times New Roman"/>
              <w:sz w:val="18"/>
            </w:rPr>
          </w:pPr>
        </w:p>
      </w:tc>
      <w:tc>
        <w:tcPr>
          <w:tcW w:w="7477" w:type="dxa"/>
          <w:gridSpan w:val="3"/>
          <w:tcBorders>
            <w:top w:val="single" w:sz="4" w:space="0" w:color="auto"/>
            <w:left w:val="single" w:sz="4" w:space="0" w:color="auto"/>
            <w:bottom w:val="single" w:sz="4" w:space="0" w:color="auto"/>
            <w:right w:val="single" w:sz="4" w:space="0" w:color="auto"/>
          </w:tcBorders>
          <w:vAlign w:val="center"/>
        </w:tcPr>
        <w:p w14:paraId="641AC847" w14:textId="45493B56" w:rsidR="00D33BDA" w:rsidRPr="00F51C4D" w:rsidRDefault="0012408C" w:rsidP="00EE4F9D">
          <w:pPr>
            <w:spacing w:before="29"/>
            <w:ind w:left="103"/>
            <w:rPr>
              <w:rFonts w:ascii="Arial"/>
              <w:b/>
              <w:sz w:val="24"/>
            </w:rPr>
          </w:pPr>
          <w:r>
            <w:rPr>
              <w:rFonts w:ascii="Arial"/>
              <w:b/>
              <w:sz w:val="24"/>
            </w:rPr>
            <w:t>WORKSHEET</w:t>
          </w:r>
          <w:r w:rsidR="00D33BDA" w:rsidRPr="00F51C4D">
            <w:rPr>
              <w:rFonts w:ascii="Arial"/>
              <w:b/>
              <w:sz w:val="24"/>
            </w:rPr>
            <w:t xml:space="preserve">: </w:t>
          </w:r>
          <w:r w:rsidR="0095196F" w:rsidRPr="004E241C">
            <w:rPr>
              <w:rFonts w:ascii="Arial"/>
              <w:b/>
              <w:sz w:val="20"/>
              <w:szCs w:val="18"/>
            </w:rPr>
            <w:t xml:space="preserve">Surrogate Consent - </w:t>
          </w:r>
          <w:r w:rsidR="00CD2A02" w:rsidRPr="004E241C">
            <w:rPr>
              <w:rFonts w:ascii="Arial"/>
              <w:b/>
              <w:sz w:val="20"/>
              <w:szCs w:val="18"/>
            </w:rPr>
            <w:t>Determining Decisional Capacity</w:t>
          </w:r>
          <w:r w:rsidR="0095196F" w:rsidRPr="004E241C">
            <w:rPr>
              <w:rFonts w:ascii="Arial"/>
              <w:b/>
              <w:sz w:val="20"/>
              <w:szCs w:val="18"/>
            </w:rPr>
            <w:t xml:space="preserve"> </w:t>
          </w:r>
        </w:p>
      </w:tc>
    </w:tr>
    <w:tr w:rsidR="00D33BDA" w:rsidRPr="00F51C4D" w14:paraId="7C6A682D" w14:textId="77777777" w:rsidTr="00EE4F9D">
      <w:trPr>
        <w:trHeight w:val="304"/>
      </w:trPr>
      <w:tc>
        <w:tcPr>
          <w:tcW w:w="3315" w:type="dxa"/>
          <w:vMerge/>
          <w:tcBorders>
            <w:top w:val="nil"/>
            <w:left w:val="nil"/>
            <w:bottom w:val="nil"/>
            <w:right w:val="single" w:sz="4" w:space="0" w:color="auto"/>
          </w:tcBorders>
        </w:tcPr>
        <w:p w14:paraId="077A178D" w14:textId="77777777" w:rsidR="00D33BDA" w:rsidRPr="00F51C4D" w:rsidRDefault="00D33BDA" w:rsidP="00F51C4D">
          <w:pPr>
            <w:rPr>
              <w:sz w:val="2"/>
              <w:szCs w:val="2"/>
            </w:rPr>
          </w:pPr>
        </w:p>
      </w:tc>
      <w:tc>
        <w:tcPr>
          <w:tcW w:w="2492" w:type="dxa"/>
          <w:tcBorders>
            <w:top w:val="single" w:sz="4" w:space="0" w:color="auto"/>
            <w:left w:val="single" w:sz="4" w:space="0" w:color="auto"/>
            <w:bottom w:val="single" w:sz="4" w:space="0" w:color="auto"/>
            <w:right w:val="single" w:sz="4" w:space="0" w:color="auto"/>
          </w:tcBorders>
          <w:vAlign w:val="center"/>
        </w:tcPr>
        <w:p w14:paraId="71E631F2" w14:textId="77777777" w:rsidR="00D33BDA" w:rsidRPr="00F51C4D" w:rsidRDefault="00D33BDA" w:rsidP="00BC5BEB">
          <w:pPr>
            <w:spacing w:line="188" w:lineRule="exact"/>
            <w:ind w:left="782" w:right="775"/>
            <w:jc w:val="center"/>
            <w:rPr>
              <w:rFonts w:ascii="Arial"/>
              <w:sz w:val="18"/>
            </w:rPr>
          </w:pPr>
          <w:r w:rsidRPr="00F51C4D">
            <w:rPr>
              <w:rFonts w:ascii="Arial"/>
              <w:sz w:val="18"/>
            </w:rPr>
            <w:t>NUMBER</w:t>
          </w:r>
        </w:p>
      </w:tc>
      <w:tc>
        <w:tcPr>
          <w:tcW w:w="2492" w:type="dxa"/>
          <w:tcBorders>
            <w:top w:val="single" w:sz="4" w:space="0" w:color="auto"/>
            <w:left w:val="single" w:sz="4" w:space="0" w:color="auto"/>
            <w:bottom w:val="single" w:sz="4" w:space="0" w:color="auto"/>
            <w:right w:val="single" w:sz="4" w:space="0" w:color="auto"/>
          </w:tcBorders>
          <w:vAlign w:val="center"/>
        </w:tcPr>
        <w:p w14:paraId="2716F3D2" w14:textId="77777777" w:rsidR="00D33BDA" w:rsidRPr="00F51C4D" w:rsidRDefault="00D33BDA" w:rsidP="00BC5BEB">
          <w:pPr>
            <w:spacing w:line="188" w:lineRule="exact"/>
            <w:ind w:left="768" w:right="767"/>
            <w:jc w:val="center"/>
            <w:rPr>
              <w:rFonts w:ascii="Arial"/>
              <w:sz w:val="18"/>
            </w:rPr>
          </w:pPr>
          <w:r w:rsidRPr="00F51C4D">
            <w:rPr>
              <w:rFonts w:ascii="Arial"/>
              <w:sz w:val="18"/>
            </w:rPr>
            <w:t>DATE</w:t>
          </w:r>
        </w:p>
      </w:tc>
      <w:tc>
        <w:tcPr>
          <w:tcW w:w="2493" w:type="dxa"/>
          <w:tcBorders>
            <w:top w:val="single" w:sz="4" w:space="0" w:color="auto"/>
            <w:left w:val="single" w:sz="4" w:space="0" w:color="auto"/>
            <w:bottom w:val="single" w:sz="4" w:space="0" w:color="auto"/>
            <w:right w:val="single" w:sz="4" w:space="0" w:color="auto"/>
          </w:tcBorders>
          <w:vAlign w:val="center"/>
        </w:tcPr>
        <w:p w14:paraId="36949023" w14:textId="77777777" w:rsidR="00D33BDA" w:rsidRPr="00F51C4D" w:rsidRDefault="00D33BDA" w:rsidP="00BC5BEB">
          <w:pPr>
            <w:spacing w:line="188" w:lineRule="exact"/>
            <w:jc w:val="center"/>
            <w:rPr>
              <w:rFonts w:ascii="Arial"/>
              <w:sz w:val="18"/>
            </w:rPr>
          </w:pPr>
          <w:r w:rsidRPr="00F51C4D">
            <w:rPr>
              <w:rFonts w:ascii="Arial"/>
              <w:sz w:val="18"/>
            </w:rPr>
            <w:t>PAGE</w:t>
          </w:r>
        </w:p>
      </w:tc>
    </w:tr>
    <w:tr w:rsidR="00D33BDA" w:rsidRPr="00F51C4D" w14:paraId="68780A22" w14:textId="77777777" w:rsidTr="00EE4F9D">
      <w:trPr>
        <w:trHeight w:val="217"/>
      </w:trPr>
      <w:tc>
        <w:tcPr>
          <w:tcW w:w="3315" w:type="dxa"/>
          <w:vMerge/>
          <w:tcBorders>
            <w:top w:val="nil"/>
            <w:left w:val="nil"/>
            <w:bottom w:val="nil"/>
            <w:right w:val="single" w:sz="4" w:space="0" w:color="auto"/>
          </w:tcBorders>
        </w:tcPr>
        <w:p w14:paraId="192B81E8" w14:textId="77777777" w:rsidR="00D33BDA" w:rsidRPr="00F51C4D" w:rsidRDefault="00D33BDA" w:rsidP="00F51C4D">
          <w:pPr>
            <w:rPr>
              <w:sz w:val="2"/>
              <w:szCs w:val="2"/>
            </w:rPr>
          </w:pPr>
        </w:p>
      </w:tc>
      <w:tc>
        <w:tcPr>
          <w:tcW w:w="2492" w:type="dxa"/>
          <w:tcBorders>
            <w:top w:val="single" w:sz="4" w:space="0" w:color="auto"/>
            <w:left w:val="single" w:sz="4" w:space="0" w:color="auto"/>
            <w:bottom w:val="single" w:sz="4" w:space="0" w:color="auto"/>
            <w:right w:val="single" w:sz="4" w:space="0" w:color="auto"/>
          </w:tcBorders>
          <w:vAlign w:val="center"/>
        </w:tcPr>
        <w:p w14:paraId="352368FD" w14:textId="1F54CD52" w:rsidR="00D33BDA" w:rsidRPr="00F51C4D" w:rsidRDefault="00D33BDA" w:rsidP="007E63F6">
          <w:pPr>
            <w:spacing w:line="197" w:lineRule="exact"/>
            <w:ind w:left="101" w:right="38"/>
            <w:jc w:val="center"/>
            <w:rPr>
              <w:rFonts w:ascii="Arial"/>
              <w:sz w:val="18"/>
            </w:rPr>
          </w:pPr>
          <w:r>
            <w:rPr>
              <w:rFonts w:ascii="Arial"/>
              <w:sz w:val="18"/>
            </w:rPr>
            <w:t>HRP-</w:t>
          </w:r>
          <w:r w:rsidR="0012408C">
            <w:rPr>
              <w:rFonts w:ascii="Arial"/>
              <w:sz w:val="18"/>
            </w:rPr>
            <w:t>3</w:t>
          </w:r>
          <w:r w:rsidR="0036680B">
            <w:rPr>
              <w:rFonts w:ascii="Arial"/>
              <w:sz w:val="18"/>
            </w:rPr>
            <w:t>90</w:t>
          </w:r>
        </w:p>
      </w:tc>
      <w:tc>
        <w:tcPr>
          <w:tcW w:w="2492" w:type="dxa"/>
          <w:tcBorders>
            <w:top w:val="single" w:sz="4" w:space="0" w:color="auto"/>
            <w:left w:val="single" w:sz="4" w:space="0" w:color="auto"/>
            <w:bottom w:val="single" w:sz="4" w:space="0" w:color="auto"/>
            <w:right w:val="single" w:sz="4" w:space="0" w:color="auto"/>
          </w:tcBorders>
          <w:vAlign w:val="center"/>
        </w:tcPr>
        <w:p w14:paraId="2A7F853B" w14:textId="02B720C8" w:rsidR="00D33BDA" w:rsidRPr="00F51C4D" w:rsidRDefault="00276540" w:rsidP="007E63F6">
          <w:pPr>
            <w:spacing w:line="197" w:lineRule="exact"/>
            <w:ind w:left="38" w:right="13"/>
            <w:jc w:val="center"/>
            <w:rPr>
              <w:rFonts w:ascii="Arial"/>
              <w:sz w:val="18"/>
            </w:rPr>
          </w:pPr>
          <w:r>
            <w:rPr>
              <w:rFonts w:ascii="Arial"/>
              <w:sz w:val="18"/>
            </w:rPr>
            <w:t>11</w:t>
          </w:r>
          <w:r w:rsidR="00292DEA">
            <w:rPr>
              <w:rFonts w:ascii="Arial"/>
              <w:sz w:val="18"/>
            </w:rPr>
            <w:t>/1/2020</w:t>
          </w:r>
        </w:p>
      </w:tc>
      <w:tc>
        <w:tcPr>
          <w:tcW w:w="2493" w:type="dxa"/>
          <w:tcBorders>
            <w:top w:val="single" w:sz="4" w:space="0" w:color="auto"/>
            <w:left w:val="single" w:sz="4" w:space="0" w:color="auto"/>
            <w:bottom w:val="single" w:sz="4" w:space="0" w:color="auto"/>
            <w:right w:val="single" w:sz="4" w:space="0" w:color="auto"/>
          </w:tcBorders>
          <w:vAlign w:val="center"/>
        </w:tcPr>
        <w:p w14:paraId="792701AC" w14:textId="4A23C717" w:rsidR="00D33BDA" w:rsidRPr="00F51C4D" w:rsidRDefault="00D33BDA" w:rsidP="007E63F6">
          <w:pPr>
            <w:spacing w:line="197" w:lineRule="exact"/>
            <w:ind w:left="63"/>
            <w:jc w:val="center"/>
            <w:rPr>
              <w:rFonts w:ascii="Arial"/>
              <w:sz w:val="18"/>
            </w:rPr>
          </w:pPr>
          <w:r w:rsidRPr="00F51C4D">
            <w:rPr>
              <w:rFonts w:ascii="Arial"/>
              <w:sz w:val="18"/>
            </w:rPr>
            <w:t xml:space="preserve">Page </w:t>
          </w:r>
          <w:r w:rsidRPr="00F51C4D">
            <w:rPr>
              <w:rFonts w:ascii="Arial"/>
              <w:b/>
              <w:bCs/>
              <w:sz w:val="18"/>
            </w:rPr>
            <w:fldChar w:fldCharType="begin"/>
          </w:r>
          <w:r w:rsidRPr="00F51C4D">
            <w:rPr>
              <w:rFonts w:ascii="Arial"/>
              <w:b/>
              <w:bCs/>
              <w:sz w:val="18"/>
            </w:rPr>
            <w:instrText xml:space="preserve"> PAGE  \* Arabic  \* MERGEFORMAT </w:instrText>
          </w:r>
          <w:r w:rsidRPr="00F51C4D">
            <w:rPr>
              <w:rFonts w:ascii="Arial"/>
              <w:b/>
              <w:bCs/>
              <w:sz w:val="18"/>
            </w:rPr>
            <w:fldChar w:fldCharType="separate"/>
          </w:r>
          <w:r w:rsidR="00DB3A1C">
            <w:rPr>
              <w:rFonts w:ascii="Arial"/>
              <w:b/>
              <w:bCs/>
              <w:noProof/>
              <w:sz w:val="18"/>
            </w:rPr>
            <w:t>1</w:t>
          </w:r>
          <w:r w:rsidRPr="00F51C4D">
            <w:rPr>
              <w:rFonts w:ascii="Arial"/>
              <w:b/>
              <w:bCs/>
              <w:sz w:val="18"/>
            </w:rPr>
            <w:fldChar w:fldCharType="end"/>
          </w:r>
          <w:r w:rsidRPr="00F51C4D">
            <w:rPr>
              <w:rFonts w:ascii="Arial"/>
              <w:sz w:val="18"/>
            </w:rPr>
            <w:t xml:space="preserve"> of </w:t>
          </w:r>
          <w:r w:rsidRPr="00F51C4D">
            <w:rPr>
              <w:rFonts w:ascii="Arial"/>
              <w:b/>
              <w:bCs/>
              <w:sz w:val="18"/>
            </w:rPr>
            <w:fldChar w:fldCharType="begin"/>
          </w:r>
          <w:r w:rsidRPr="00F51C4D">
            <w:rPr>
              <w:rFonts w:ascii="Arial"/>
              <w:b/>
              <w:bCs/>
              <w:sz w:val="18"/>
            </w:rPr>
            <w:instrText xml:space="preserve"> NUMPAGES  \* Arabic  \* MERGEFORMAT </w:instrText>
          </w:r>
          <w:r w:rsidRPr="00F51C4D">
            <w:rPr>
              <w:rFonts w:ascii="Arial"/>
              <w:b/>
              <w:bCs/>
              <w:sz w:val="18"/>
            </w:rPr>
            <w:fldChar w:fldCharType="separate"/>
          </w:r>
          <w:r w:rsidR="00DB3A1C">
            <w:rPr>
              <w:rFonts w:ascii="Arial"/>
              <w:b/>
              <w:bCs/>
              <w:noProof/>
              <w:sz w:val="18"/>
            </w:rPr>
            <w:t>2</w:t>
          </w:r>
          <w:r w:rsidRPr="00F51C4D">
            <w:rPr>
              <w:rFonts w:ascii="Arial"/>
              <w:b/>
              <w:bCs/>
              <w:sz w:val="18"/>
            </w:rPr>
            <w:fldChar w:fldCharType="end"/>
          </w:r>
        </w:p>
      </w:tc>
    </w:tr>
  </w:tbl>
  <w:p w14:paraId="6029B4DC" w14:textId="77777777" w:rsidR="00D33BDA" w:rsidRDefault="00D33BDA"/>
  <w:p w14:paraId="3B0C3516" w14:textId="77777777" w:rsidR="00D33BDA" w:rsidRDefault="00D33BDA">
    <w:pPr>
      <w:pStyle w:val="BodyText"/>
      <w:spacing w:line="14" w:lineRule="aut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902"/>
    <w:multiLevelType w:val="hybridMultilevel"/>
    <w:tmpl w:val="8D18737E"/>
    <w:lvl w:ilvl="0" w:tplc="E486AEBA">
      <w:numFmt w:val="bullet"/>
      <w:lvlText w:val="☐"/>
      <w:lvlJc w:val="left"/>
      <w:pPr>
        <w:ind w:left="36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24B35"/>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2" w15:restartNumberingAfterBreak="0">
    <w:nsid w:val="14083ADC"/>
    <w:multiLevelType w:val="hybridMultilevel"/>
    <w:tmpl w:val="897A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58B4"/>
    <w:multiLevelType w:val="hybridMultilevel"/>
    <w:tmpl w:val="5ECC235E"/>
    <w:lvl w:ilvl="0" w:tplc="1EDE7940">
      <w:start w:val="7"/>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25905AD8">
      <w:start w:val="1"/>
      <w:numFmt w:val="lowerLetter"/>
      <w:lvlText w:val="%2."/>
      <w:lvlJc w:val="left"/>
      <w:pPr>
        <w:ind w:left="921" w:hanging="360"/>
      </w:pPr>
      <w:rPr>
        <w:rFonts w:ascii="Arial Narrow" w:eastAsia="Arial Narrow" w:hAnsi="Arial Narrow" w:cs="Arial Narrow" w:hint="default"/>
        <w:w w:val="99"/>
        <w:sz w:val="20"/>
        <w:szCs w:val="20"/>
        <w:lang w:val="en-US" w:eastAsia="en-US" w:bidi="en-US"/>
      </w:rPr>
    </w:lvl>
    <w:lvl w:ilvl="2" w:tplc="8906294C">
      <w:numFmt w:val="bullet"/>
      <w:lvlText w:val="•"/>
      <w:lvlJc w:val="left"/>
      <w:pPr>
        <w:ind w:left="2036" w:hanging="360"/>
      </w:pPr>
      <w:rPr>
        <w:rFonts w:hint="default"/>
        <w:lang w:val="en-US" w:eastAsia="en-US" w:bidi="en-US"/>
      </w:rPr>
    </w:lvl>
    <w:lvl w:ilvl="3" w:tplc="BC34AD3E">
      <w:numFmt w:val="bullet"/>
      <w:lvlText w:val="•"/>
      <w:lvlJc w:val="left"/>
      <w:pPr>
        <w:ind w:left="3152" w:hanging="360"/>
      </w:pPr>
      <w:rPr>
        <w:rFonts w:hint="default"/>
        <w:lang w:val="en-US" w:eastAsia="en-US" w:bidi="en-US"/>
      </w:rPr>
    </w:lvl>
    <w:lvl w:ilvl="4" w:tplc="A75E721E">
      <w:numFmt w:val="bullet"/>
      <w:lvlText w:val="•"/>
      <w:lvlJc w:val="left"/>
      <w:pPr>
        <w:ind w:left="4268" w:hanging="360"/>
      </w:pPr>
      <w:rPr>
        <w:rFonts w:hint="default"/>
        <w:lang w:val="en-US" w:eastAsia="en-US" w:bidi="en-US"/>
      </w:rPr>
    </w:lvl>
    <w:lvl w:ilvl="5" w:tplc="72F6B6AC">
      <w:numFmt w:val="bullet"/>
      <w:lvlText w:val="•"/>
      <w:lvlJc w:val="left"/>
      <w:pPr>
        <w:ind w:left="5384" w:hanging="360"/>
      </w:pPr>
      <w:rPr>
        <w:rFonts w:hint="default"/>
        <w:lang w:val="en-US" w:eastAsia="en-US" w:bidi="en-US"/>
      </w:rPr>
    </w:lvl>
    <w:lvl w:ilvl="6" w:tplc="883CE196">
      <w:numFmt w:val="bullet"/>
      <w:lvlText w:val="•"/>
      <w:lvlJc w:val="left"/>
      <w:pPr>
        <w:ind w:left="6500" w:hanging="360"/>
      </w:pPr>
      <w:rPr>
        <w:rFonts w:hint="default"/>
        <w:lang w:val="en-US" w:eastAsia="en-US" w:bidi="en-US"/>
      </w:rPr>
    </w:lvl>
    <w:lvl w:ilvl="7" w:tplc="F9A864D0">
      <w:numFmt w:val="bullet"/>
      <w:lvlText w:val="•"/>
      <w:lvlJc w:val="left"/>
      <w:pPr>
        <w:ind w:left="7616" w:hanging="360"/>
      </w:pPr>
      <w:rPr>
        <w:rFonts w:hint="default"/>
        <w:lang w:val="en-US" w:eastAsia="en-US" w:bidi="en-US"/>
      </w:rPr>
    </w:lvl>
    <w:lvl w:ilvl="8" w:tplc="E9C25C52">
      <w:numFmt w:val="bullet"/>
      <w:lvlText w:val="•"/>
      <w:lvlJc w:val="left"/>
      <w:pPr>
        <w:ind w:left="8732" w:hanging="360"/>
      </w:pPr>
      <w:rPr>
        <w:rFonts w:hint="default"/>
        <w:lang w:val="en-US" w:eastAsia="en-US" w:bidi="en-US"/>
      </w:rPr>
    </w:lvl>
  </w:abstractNum>
  <w:abstractNum w:abstractNumId="4" w15:restartNumberingAfterBreak="0">
    <w:nsid w:val="1E2057BD"/>
    <w:multiLevelType w:val="hybridMultilevel"/>
    <w:tmpl w:val="3888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F635D"/>
    <w:multiLevelType w:val="hybridMultilevel"/>
    <w:tmpl w:val="73C4862E"/>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23F3"/>
    <w:multiLevelType w:val="hybridMultilevel"/>
    <w:tmpl w:val="CFA21C92"/>
    <w:lvl w:ilvl="0" w:tplc="0409000F">
      <w:start w:val="1"/>
      <w:numFmt w:val="decimal"/>
      <w:lvlText w:val="%1."/>
      <w:lvlJc w:val="left"/>
      <w:pPr>
        <w:ind w:left="921" w:hanging="360"/>
      </w:pPr>
      <w:rPr>
        <w:rFonts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66CE5"/>
    <w:multiLevelType w:val="hybridMultilevel"/>
    <w:tmpl w:val="DD6CFAC6"/>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377E1B33"/>
    <w:multiLevelType w:val="hybridMultilevel"/>
    <w:tmpl w:val="523095BE"/>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65667"/>
    <w:multiLevelType w:val="hybridMultilevel"/>
    <w:tmpl w:val="EE76C4DE"/>
    <w:lvl w:ilvl="0" w:tplc="EF3C73EE">
      <w:start w:val="9"/>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E486AEBA">
      <w:numFmt w:val="bullet"/>
      <w:lvlText w:val="☐"/>
      <w:lvlJc w:val="left"/>
      <w:pPr>
        <w:ind w:left="808" w:hanging="248"/>
      </w:pPr>
      <w:rPr>
        <w:rFonts w:ascii="MS Gothic" w:eastAsia="MS Gothic" w:hAnsi="MS Gothic" w:cs="MS Gothic" w:hint="default"/>
        <w:w w:val="99"/>
        <w:sz w:val="20"/>
        <w:szCs w:val="20"/>
        <w:lang w:val="en-US" w:eastAsia="en-US" w:bidi="en-US"/>
      </w:rPr>
    </w:lvl>
    <w:lvl w:ilvl="2" w:tplc="934400C2">
      <w:numFmt w:val="bullet"/>
      <w:lvlText w:val="•"/>
      <w:lvlJc w:val="left"/>
      <w:pPr>
        <w:ind w:left="1929" w:hanging="248"/>
      </w:pPr>
      <w:rPr>
        <w:rFonts w:hint="default"/>
        <w:lang w:val="en-US" w:eastAsia="en-US" w:bidi="en-US"/>
      </w:rPr>
    </w:lvl>
    <w:lvl w:ilvl="3" w:tplc="6AC2F30A">
      <w:numFmt w:val="bullet"/>
      <w:lvlText w:val="•"/>
      <w:lvlJc w:val="left"/>
      <w:pPr>
        <w:ind w:left="3058" w:hanging="248"/>
      </w:pPr>
      <w:rPr>
        <w:rFonts w:hint="default"/>
        <w:lang w:val="en-US" w:eastAsia="en-US" w:bidi="en-US"/>
      </w:rPr>
    </w:lvl>
    <w:lvl w:ilvl="4" w:tplc="5A90C966">
      <w:numFmt w:val="bullet"/>
      <w:lvlText w:val="•"/>
      <w:lvlJc w:val="left"/>
      <w:pPr>
        <w:ind w:left="4188" w:hanging="248"/>
      </w:pPr>
      <w:rPr>
        <w:rFonts w:hint="default"/>
        <w:lang w:val="en-US" w:eastAsia="en-US" w:bidi="en-US"/>
      </w:rPr>
    </w:lvl>
    <w:lvl w:ilvl="5" w:tplc="DE7CEDA6">
      <w:numFmt w:val="bullet"/>
      <w:lvlText w:val="•"/>
      <w:lvlJc w:val="left"/>
      <w:pPr>
        <w:ind w:left="5317" w:hanging="248"/>
      </w:pPr>
      <w:rPr>
        <w:rFonts w:hint="default"/>
        <w:lang w:val="en-US" w:eastAsia="en-US" w:bidi="en-US"/>
      </w:rPr>
    </w:lvl>
    <w:lvl w:ilvl="6" w:tplc="A0E29BB0">
      <w:numFmt w:val="bullet"/>
      <w:lvlText w:val="•"/>
      <w:lvlJc w:val="left"/>
      <w:pPr>
        <w:ind w:left="6447" w:hanging="248"/>
      </w:pPr>
      <w:rPr>
        <w:rFonts w:hint="default"/>
        <w:lang w:val="en-US" w:eastAsia="en-US" w:bidi="en-US"/>
      </w:rPr>
    </w:lvl>
    <w:lvl w:ilvl="7" w:tplc="5484E766">
      <w:numFmt w:val="bullet"/>
      <w:lvlText w:val="•"/>
      <w:lvlJc w:val="left"/>
      <w:pPr>
        <w:ind w:left="7576" w:hanging="248"/>
      </w:pPr>
      <w:rPr>
        <w:rFonts w:hint="default"/>
        <w:lang w:val="en-US" w:eastAsia="en-US" w:bidi="en-US"/>
      </w:rPr>
    </w:lvl>
    <w:lvl w:ilvl="8" w:tplc="DBC22028">
      <w:numFmt w:val="bullet"/>
      <w:lvlText w:val="•"/>
      <w:lvlJc w:val="left"/>
      <w:pPr>
        <w:ind w:left="8706" w:hanging="248"/>
      </w:pPr>
      <w:rPr>
        <w:rFonts w:hint="default"/>
        <w:lang w:val="en-US" w:eastAsia="en-US" w:bidi="en-US"/>
      </w:rPr>
    </w:lvl>
  </w:abstractNum>
  <w:abstractNum w:abstractNumId="10" w15:restartNumberingAfterBreak="0">
    <w:nsid w:val="38C22919"/>
    <w:multiLevelType w:val="hybridMultilevel"/>
    <w:tmpl w:val="0A1C3370"/>
    <w:lvl w:ilvl="0" w:tplc="C8AAC8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25477"/>
    <w:multiLevelType w:val="hybridMultilevel"/>
    <w:tmpl w:val="753857DA"/>
    <w:lvl w:ilvl="0" w:tplc="C20E346A">
      <w:start w:val="1"/>
      <w:numFmt w:val="lowerLetter"/>
      <w:lvlText w:val="%1)"/>
      <w:lvlJc w:val="left"/>
      <w:pPr>
        <w:ind w:left="921" w:hanging="360"/>
      </w:pPr>
      <w:rPr>
        <w:rFonts w:hint="default"/>
        <w:b w:val="0"/>
        <w:bCs/>
        <w:w w:val="99"/>
        <w:lang w:val="en-US" w:eastAsia="en-US" w:bidi="en-US"/>
      </w:rPr>
    </w:lvl>
    <w:lvl w:ilvl="1" w:tplc="7C6846DE">
      <w:numFmt w:val="bullet"/>
      <w:lvlText w:val="•"/>
      <w:lvlJc w:val="left"/>
      <w:pPr>
        <w:ind w:left="1924" w:hanging="360"/>
      </w:pPr>
      <w:rPr>
        <w:rFonts w:hint="default"/>
        <w:lang w:val="en-US" w:eastAsia="en-US" w:bidi="en-US"/>
      </w:rPr>
    </w:lvl>
    <w:lvl w:ilvl="2" w:tplc="41FE129E">
      <w:numFmt w:val="bullet"/>
      <w:lvlText w:val="•"/>
      <w:lvlJc w:val="left"/>
      <w:pPr>
        <w:ind w:left="2929" w:hanging="360"/>
      </w:pPr>
      <w:rPr>
        <w:rFonts w:hint="default"/>
        <w:lang w:val="en-US" w:eastAsia="en-US" w:bidi="en-US"/>
      </w:rPr>
    </w:lvl>
    <w:lvl w:ilvl="3" w:tplc="9DE004B6">
      <w:numFmt w:val="bullet"/>
      <w:lvlText w:val="•"/>
      <w:lvlJc w:val="left"/>
      <w:pPr>
        <w:ind w:left="3933" w:hanging="360"/>
      </w:pPr>
      <w:rPr>
        <w:rFonts w:hint="default"/>
        <w:lang w:val="en-US" w:eastAsia="en-US" w:bidi="en-US"/>
      </w:rPr>
    </w:lvl>
    <w:lvl w:ilvl="4" w:tplc="391434B6">
      <w:numFmt w:val="bullet"/>
      <w:lvlText w:val="•"/>
      <w:lvlJc w:val="left"/>
      <w:pPr>
        <w:ind w:left="4938" w:hanging="360"/>
      </w:pPr>
      <w:rPr>
        <w:rFonts w:hint="default"/>
        <w:lang w:val="en-US" w:eastAsia="en-US" w:bidi="en-US"/>
      </w:rPr>
    </w:lvl>
    <w:lvl w:ilvl="5" w:tplc="A7CCD4B8">
      <w:numFmt w:val="bullet"/>
      <w:lvlText w:val="•"/>
      <w:lvlJc w:val="left"/>
      <w:pPr>
        <w:ind w:left="5942" w:hanging="360"/>
      </w:pPr>
      <w:rPr>
        <w:rFonts w:hint="default"/>
        <w:lang w:val="en-US" w:eastAsia="en-US" w:bidi="en-US"/>
      </w:rPr>
    </w:lvl>
    <w:lvl w:ilvl="6" w:tplc="0E2C13E0">
      <w:numFmt w:val="bullet"/>
      <w:lvlText w:val="•"/>
      <w:lvlJc w:val="left"/>
      <w:pPr>
        <w:ind w:left="6947" w:hanging="360"/>
      </w:pPr>
      <w:rPr>
        <w:rFonts w:hint="default"/>
        <w:lang w:val="en-US" w:eastAsia="en-US" w:bidi="en-US"/>
      </w:rPr>
    </w:lvl>
    <w:lvl w:ilvl="7" w:tplc="F7923FDA">
      <w:numFmt w:val="bullet"/>
      <w:lvlText w:val="•"/>
      <w:lvlJc w:val="left"/>
      <w:pPr>
        <w:ind w:left="7951" w:hanging="360"/>
      </w:pPr>
      <w:rPr>
        <w:rFonts w:hint="default"/>
        <w:lang w:val="en-US" w:eastAsia="en-US" w:bidi="en-US"/>
      </w:rPr>
    </w:lvl>
    <w:lvl w:ilvl="8" w:tplc="22DCAB3A">
      <w:numFmt w:val="bullet"/>
      <w:lvlText w:val="•"/>
      <w:lvlJc w:val="left"/>
      <w:pPr>
        <w:ind w:left="8956" w:hanging="360"/>
      </w:pPr>
      <w:rPr>
        <w:rFonts w:hint="default"/>
        <w:lang w:val="en-US" w:eastAsia="en-US" w:bidi="en-US"/>
      </w:rPr>
    </w:lvl>
  </w:abstractNum>
  <w:abstractNum w:abstractNumId="12" w15:restartNumberingAfterBreak="0">
    <w:nsid w:val="3E4C2FFA"/>
    <w:multiLevelType w:val="hybridMultilevel"/>
    <w:tmpl w:val="34D0688C"/>
    <w:lvl w:ilvl="0" w:tplc="E486AEBA">
      <w:numFmt w:val="bullet"/>
      <w:lvlText w:val="☐"/>
      <w:lvlJc w:val="left"/>
      <w:pPr>
        <w:ind w:left="63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F8931A2"/>
    <w:multiLevelType w:val="hybridMultilevel"/>
    <w:tmpl w:val="B9F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F542D"/>
    <w:multiLevelType w:val="hybridMultilevel"/>
    <w:tmpl w:val="08D8A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76D52"/>
    <w:multiLevelType w:val="hybridMultilevel"/>
    <w:tmpl w:val="4A9EF380"/>
    <w:lvl w:ilvl="0" w:tplc="6B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51625"/>
    <w:multiLevelType w:val="hybridMultilevel"/>
    <w:tmpl w:val="7124F7D2"/>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96929"/>
    <w:multiLevelType w:val="hybridMultilevel"/>
    <w:tmpl w:val="14A457E8"/>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8" w15:restartNumberingAfterBreak="0">
    <w:nsid w:val="604451B2"/>
    <w:multiLevelType w:val="hybridMultilevel"/>
    <w:tmpl w:val="CA94092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6BF8"/>
    <w:multiLevelType w:val="hybridMultilevel"/>
    <w:tmpl w:val="97B0B9AA"/>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E0558"/>
    <w:multiLevelType w:val="hybridMultilevel"/>
    <w:tmpl w:val="82B4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E4579"/>
    <w:multiLevelType w:val="hybridMultilevel"/>
    <w:tmpl w:val="802697C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A4ECF"/>
    <w:multiLevelType w:val="hybridMultilevel"/>
    <w:tmpl w:val="5268ED68"/>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57D3F"/>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24" w15:restartNumberingAfterBreak="0">
    <w:nsid w:val="7F287434"/>
    <w:multiLevelType w:val="hybridMultilevel"/>
    <w:tmpl w:val="2520B400"/>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3"/>
  </w:num>
  <w:num w:numId="4">
    <w:abstractNumId w:val="3"/>
  </w:num>
  <w:num w:numId="5">
    <w:abstractNumId w:val="19"/>
  </w:num>
  <w:num w:numId="6">
    <w:abstractNumId w:val="13"/>
  </w:num>
  <w:num w:numId="7">
    <w:abstractNumId w:val="24"/>
  </w:num>
  <w:num w:numId="8">
    <w:abstractNumId w:val="18"/>
  </w:num>
  <w:num w:numId="9">
    <w:abstractNumId w:val="21"/>
  </w:num>
  <w:num w:numId="10">
    <w:abstractNumId w:val="0"/>
  </w:num>
  <w:num w:numId="11">
    <w:abstractNumId w:val="5"/>
  </w:num>
  <w:num w:numId="12">
    <w:abstractNumId w:val="12"/>
  </w:num>
  <w:num w:numId="13">
    <w:abstractNumId w:val="22"/>
  </w:num>
  <w:num w:numId="14">
    <w:abstractNumId w:val="15"/>
  </w:num>
  <w:num w:numId="15">
    <w:abstractNumId w:val="16"/>
  </w:num>
  <w:num w:numId="16">
    <w:abstractNumId w:val="8"/>
  </w:num>
  <w:num w:numId="17">
    <w:abstractNumId w:val="6"/>
  </w:num>
  <w:num w:numId="18">
    <w:abstractNumId w:val="1"/>
  </w:num>
  <w:num w:numId="19">
    <w:abstractNumId w:val="7"/>
  </w:num>
  <w:num w:numId="20">
    <w:abstractNumId w:val="20"/>
  </w:num>
  <w:num w:numId="21">
    <w:abstractNumId w:val="4"/>
  </w:num>
  <w:num w:numId="22">
    <w:abstractNumId w:val="2"/>
  </w:num>
  <w:num w:numId="23">
    <w:abstractNumId w:val="17"/>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1"/>
    <w:rsid w:val="00013DFC"/>
    <w:rsid w:val="000262D8"/>
    <w:rsid w:val="00057740"/>
    <w:rsid w:val="00065F73"/>
    <w:rsid w:val="000709D9"/>
    <w:rsid w:val="00077354"/>
    <w:rsid w:val="000917EA"/>
    <w:rsid w:val="000A3721"/>
    <w:rsid w:val="000A7285"/>
    <w:rsid w:val="000B1EB6"/>
    <w:rsid w:val="000D73DD"/>
    <w:rsid w:val="000F5305"/>
    <w:rsid w:val="001215FF"/>
    <w:rsid w:val="0012408C"/>
    <w:rsid w:val="00143D6A"/>
    <w:rsid w:val="00166CE4"/>
    <w:rsid w:val="00174A35"/>
    <w:rsid w:val="00174EDB"/>
    <w:rsid w:val="00183E20"/>
    <w:rsid w:val="00186196"/>
    <w:rsid w:val="001A0B59"/>
    <w:rsid w:val="001A1DDF"/>
    <w:rsid w:val="001B5DBA"/>
    <w:rsid w:val="001C1DC7"/>
    <w:rsid w:val="001C2750"/>
    <w:rsid w:val="001E3E2D"/>
    <w:rsid w:val="001E55E4"/>
    <w:rsid w:val="001F63E2"/>
    <w:rsid w:val="00217045"/>
    <w:rsid w:val="00226819"/>
    <w:rsid w:val="00270836"/>
    <w:rsid w:val="00276540"/>
    <w:rsid w:val="002808CC"/>
    <w:rsid w:val="002822FF"/>
    <w:rsid w:val="002869F1"/>
    <w:rsid w:val="00292DEA"/>
    <w:rsid w:val="002A5B99"/>
    <w:rsid w:val="002F1221"/>
    <w:rsid w:val="002F1E1F"/>
    <w:rsid w:val="0030570A"/>
    <w:rsid w:val="003145FE"/>
    <w:rsid w:val="003302F5"/>
    <w:rsid w:val="00332522"/>
    <w:rsid w:val="00365512"/>
    <w:rsid w:val="0036680B"/>
    <w:rsid w:val="00373F01"/>
    <w:rsid w:val="00374839"/>
    <w:rsid w:val="00394596"/>
    <w:rsid w:val="003A0E72"/>
    <w:rsid w:val="003B50EF"/>
    <w:rsid w:val="00404F3A"/>
    <w:rsid w:val="00416D13"/>
    <w:rsid w:val="00420F12"/>
    <w:rsid w:val="00436854"/>
    <w:rsid w:val="00441479"/>
    <w:rsid w:val="0044305D"/>
    <w:rsid w:val="00467AEF"/>
    <w:rsid w:val="0048713E"/>
    <w:rsid w:val="00495D80"/>
    <w:rsid w:val="004C2672"/>
    <w:rsid w:val="004E241C"/>
    <w:rsid w:val="004F0AC8"/>
    <w:rsid w:val="00505A9C"/>
    <w:rsid w:val="00522D3E"/>
    <w:rsid w:val="00535308"/>
    <w:rsid w:val="005568C5"/>
    <w:rsid w:val="00561C3A"/>
    <w:rsid w:val="005725A7"/>
    <w:rsid w:val="0058048B"/>
    <w:rsid w:val="00581B58"/>
    <w:rsid w:val="00585259"/>
    <w:rsid w:val="00595272"/>
    <w:rsid w:val="005C0427"/>
    <w:rsid w:val="005C08A8"/>
    <w:rsid w:val="005D4C6C"/>
    <w:rsid w:val="005E4CC6"/>
    <w:rsid w:val="005E6A68"/>
    <w:rsid w:val="00636CE2"/>
    <w:rsid w:val="00641163"/>
    <w:rsid w:val="006547C2"/>
    <w:rsid w:val="0068423C"/>
    <w:rsid w:val="00697EF3"/>
    <w:rsid w:val="006A352B"/>
    <w:rsid w:val="006A650D"/>
    <w:rsid w:val="006D2917"/>
    <w:rsid w:val="006D3E84"/>
    <w:rsid w:val="006E5480"/>
    <w:rsid w:val="007034CB"/>
    <w:rsid w:val="00711BDC"/>
    <w:rsid w:val="00744323"/>
    <w:rsid w:val="00744519"/>
    <w:rsid w:val="0075190A"/>
    <w:rsid w:val="00752AC7"/>
    <w:rsid w:val="00790FE5"/>
    <w:rsid w:val="007A6F61"/>
    <w:rsid w:val="007D7690"/>
    <w:rsid w:val="007E3505"/>
    <w:rsid w:val="007E63F6"/>
    <w:rsid w:val="00813693"/>
    <w:rsid w:val="00830A87"/>
    <w:rsid w:val="00861F6D"/>
    <w:rsid w:val="008632F4"/>
    <w:rsid w:val="00863C53"/>
    <w:rsid w:val="008730FE"/>
    <w:rsid w:val="008870ED"/>
    <w:rsid w:val="00893786"/>
    <w:rsid w:val="00897122"/>
    <w:rsid w:val="008A629B"/>
    <w:rsid w:val="008B1553"/>
    <w:rsid w:val="008C40B2"/>
    <w:rsid w:val="008C52C4"/>
    <w:rsid w:val="008D3C7B"/>
    <w:rsid w:val="00913D97"/>
    <w:rsid w:val="00922DE8"/>
    <w:rsid w:val="00924084"/>
    <w:rsid w:val="009349BE"/>
    <w:rsid w:val="0095184C"/>
    <w:rsid w:val="0095196F"/>
    <w:rsid w:val="00954C02"/>
    <w:rsid w:val="00973395"/>
    <w:rsid w:val="009A37BD"/>
    <w:rsid w:val="009D4470"/>
    <w:rsid w:val="009E57C2"/>
    <w:rsid w:val="009E5BE4"/>
    <w:rsid w:val="009E5F59"/>
    <w:rsid w:val="009E6ED1"/>
    <w:rsid w:val="00A03E4E"/>
    <w:rsid w:val="00A10DF9"/>
    <w:rsid w:val="00A41E6C"/>
    <w:rsid w:val="00A60DEC"/>
    <w:rsid w:val="00A80B3D"/>
    <w:rsid w:val="00A95298"/>
    <w:rsid w:val="00AA62D7"/>
    <w:rsid w:val="00AD1069"/>
    <w:rsid w:val="00AD4775"/>
    <w:rsid w:val="00AE09F5"/>
    <w:rsid w:val="00AE128C"/>
    <w:rsid w:val="00AF6F36"/>
    <w:rsid w:val="00B03900"/>
    <w:rsid w:val="00B305E0"/>
    <w:rsid w:val="00B37F1A"/>
    <w:rsid w:val="00B57813"/>
    <w:rsid w:val="00B61619"/>
    <w:rsid w:val="00B62BFE"/>
    <w:rsid w:val="00B84CAD"/>
    <w:rsid w:val="00BA1E51"/>
    <w:rsid w:val="00BA354E"/>
    <w:rsid w:val="00BC3A2B"/>
    <w:rsid w:val="00BC5BEB"/>
    <w:rsid w:val="00BE0DD8"/>
    <w:rsid w:val="00BF57B8"/>
    <w:rsid w:val="00C01767"/>
    <w:rsid w:val="00C21B38"/>
    <w:rsid w:val="00C35006"/>
    <w:rsid w:val="00C649E5"/>
    <w:rsid w:val="00C82252"/>
    <w:rsid w:val="00C929E6"/>
    <w:rsid w:val="00CA7D39"/>
    <w:rsid w:val="00CD2A02"/>
    <w:rsid w:val="00CE0B30"/>
    <w:rsid w:val="00D14A4E"/>
    <w:rsid w:val="00D17793"/>
    <w:rsid w:val="00D33BDA"/>
    <w:rsid w:val="00D62BCB"/>
    <w:rsid w:val="00D65F57"/>
    <w:rsid w:val="00D90A11"/>
    <w:rsid w:val="00D93591"/>
    <w:rsid w:val="00DA6CD3"/>
    <w:rsid w:val="00DB3A1C"/>
    <w:rsid w:val="00DC1037"/>
    <w:rsid w:val="00DE1A9F"/>
    <w:rsid w:val="00E27218"/>
    <w:rsid w:val="00E62C5A"/>
    <w:rsid w:val="00E63F26"/>
    <w:rsid w:val="00E66338"/>
    <w:rsid w:val="00EA3E5D"/>
    <w:rsid w:val="00EB20E8"/>
    <w:rsid w:val="00EB320B"/>
    <w:rsid w:val="00EC45F7"/>
    <w:rsid w:val="00ED3F5C"/>
    <w:rsid w:val="00ED669D"/>
    <w:rsid w:val="00EE4F9D"/>
    <w:rsid w:val="00EF7D97"/>
    <w:rsid w:val="00F0681E"/>
    <w:rsid w:val="00F1718F"/>
    <w:rsid w:val="00F17A0C"/>
    <w:rsid w:val="00F51C4D"/>
    <w:rsid w:val="00F5732A"/>
    <w:rsid w:val="00F672DB"/>
    <w:rsid w:val="00F75CE2"/>
    <w:rsid w:val="00F963EA"/>
    <w:rsid w:val="00FA579A"/>
    <w:rsid w:val="00FE6D05"/>
    <w:rsid w:val="01905899"/>
    <w:rsid w:val="0238B57E"/>
    <w:rsid w:val="02686FBC"/>
    <w:rsid w:val="0340181C"/>
    <w:rsid w:val="058DB523"/>
    <w:rsid w:val="0721E8AF"/>
    <w:rsid w:val="0A99E399"/>
    <w:rsid w:val="0F16C42F"/>
    <w:rsid w:val="10179DB1"/>
    <w:rsid w:val="115153B2"/>
    <w:rsid w:val="142D78D7"/>
    <w:rsid w:val="14D87CAC"/>
    <w:rsid w:val="16FEBDFA"/>
    <w:rsid w:val="18146290"/>
    <w:rsid w:val="194D3D46"/>
    <w:rsid w:val="1BEE0A9D"/>
    <w:rsid w:val="1C1C33F4"/>
    <w:rsid w:val="1D1E2B25"/>
    <w:rsid w:val="1D7746B0"/>
    <w:rsid w:val="1E6AF3BB"/>
    <w:rsid w:val="1EA6F654"/>
    <w:rsid w:val="1F2A633F"/>
    <w:rsid w:val="1FF53CC7"/>
    <w:rsid w:val="21A4BF49"/>
    <w:rsid w:val="22E9CA89"/>
    <w:rsid w:val="23E07B57"/>
    <w:rsid w:val="2476D323"/>
    <w:rsid w:val="275C9009"/>
    <w:rsid w:val="277DBFE3"/>
    <w:rsid w:val="27D1B493"/>
    <w:rsid w:val="28D44DB4"/>
    <w:rsid w:val="29D3CC6C"/>
    <w:rsid w:val="2AFDDDA1"/>
    <w:rsid w:val="2C8E7FA5"/>
    <w:rsid w:val="2C90931A"/>
    <w:rsid w:val="303EF758"/>
    <w:rsid w:val="30A5C7F6"/>
    <w:rsid w:val="30BE8632"/>
    <w:rsid w:val="3308EBAC"/>
    <w:rsid w:val="3863B856"/>
    <w:rsid w:val="39EED7AA"/>
    <w:rsid w:val="3A3242A8"/>
    <w:rsid w:val="3BC6751E"/>
    <w:rsid w:val="40572D0E"/>
    <w:rsid w:val="40FD4C94"/>
    <w:rsid w:val="43119A0A"/>
    <w:rsid w:val="494C5C16"/>
    <w:rsid w:val="4A3BC68D"/>
    <w:rsid w:val="4A406CE6"/>
    <w:rsid w:val="4AB6CFFE"/>
    <w:rsid w:val="4BBC9658"/>
    <w:rsid w:val="4C3A2EC3"/>
    <w:rsid w:val="4CA57C43"/>
    <w:rsid w:val="4E31312F"/>
    <w:rsid w:val="50E65FDA"/>
    <w:rsid w:val="543AD6F4"/>
    <w:rsid w:val="550486ED"/>
    <w:rsid w:val="55F9DDDE"/>
    <w:rsid w:val="5758FE52"/>
    <w:rsid w:val="591206FD"/>
    <w:rsid w:val="5E918DA0"/>
    <w:rsid w:val="6110A11B"/>
    <w:rsid w:val="621FD7A3"/>
    <w:rsid w:val="62A6D9D2"/>
    <w:rsid w:val="634A2C93"/>
    <w:rsid w:val="63EB087E"/>
    <w:rsid w:val="658D32B3"/>
    <w:rsid w:val="65D59BFB"/>
    <w:rsid w:val="66381FFA"/>
    <w:rsid w:val="6648C3FF"/>
    <w:rsid w:val="690D825E"/>
    <w:rsid w:val="6AE932E5"/>
    <w:rsid w:val="6B7468FF"/>
    <w:rsid w:val="6BD40F25"/>
    <w:rsid w:val="6BFA2931"/>
    <w:rsid w:val="6DAC79B0"/>
    <w:rsid w:val="6EBFD178"/>
    <w:rsid w:val="6F8024A1"/>
    <w:rsid w:val="6FA4BD24"/>
    <w:rsid w:val="6FF60829"/>
    <w:rsid w:val="724FE8C5"/>
    <w:rsid w:val="72C43B81"/>
    <w:rsid w:val="73FB5552"/>
    <w:rsid w:val="76BEDAA2"/>
    <w:rsid w:val="7A0EB820"/>
    <w:rsid w:val="7C733990"/>
    <w:rsid w:val="7E54B1DC"/>
    <w:rsid w:val="7F02B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230B"/>
  <w15:docId w15:val="{DF66D494-5DBA-41EF-9A2A-4D55783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1"/>
    </w:pPr>
  </w:style>
  <w:style w:type="paragraph" w:styleId="Header">
    <w:name w:val="header"/>
    <w:basedOn w:val="Normal"/>
    <w:link w:val="HeaderChar"/>
    <w:uiPriority w:val="99"/>
    <w:unhideWhenUsed/>
    <w:rsid w:val="00F51C4D"/>
    <w:pPr>
      <w:tabs>
        <w:tab w:val="center" w:pos="4680"/>
        <w:tab w:val="right" w:pos="9360"/>
      </w:tabs>
    </w:pPr>
  </w:style>
  <w:style w:type="character" w:customStyle="1" w:styleId="HeaderChar">
    <w:name w:val="Header Char"/>
    <w:basedOn w:val="DefaultParagraphFont"/>
    <w:link w:val="Header"/>
    <w:uiPriority w:val="99"/>
    <w:rsid w:val="00F51C4D"/>
    <w:rPr>
      <w:rFonts w:ascii="Arial Narrow" w:eastAsia="Arial Narrow" w:hAnsi="Arial Narrow" w:cs="Arial Narrow"/>
      <w:lang w:bidi="en-US"/>
    </w:rPr>
  </w:style>
  <w:style w:type="paragraph" w:styleId="Footer">
    <w:name w:val="footer"/>
    <w:basedOn w:val="Normal"/>
    <w:link w:val="FooterChar"/>
    <w:uiPriority w:val="99"/>
    <w:unhideWhenUsed/>
    <w:rsid w:val="00F51C4D"/>
    <w:pPr>
      <w:tabs>
        <w:tab w:val="center" w:pos="4680"/>
        <w:tab w:val="right" w:pos="9360"/>
      </w:tabs>
    </w:pPr>
  </w:style>
  <w:style w:type="character" w:customStyle="1" w:styleId="FooterChar">
    <w:name w:val="Footer Char"/>
    <w:basedOn w:val="DefaultParagraphFont"/>
    <w:link w:val="Footer"/>
    <w:uiPriority w:val="99"/>
    <w:rsid w:val="00F51C4D"/>
    <w:rPr>
      <w:rFonts w:ascii="Arial Narrow" w:eastAsia="Arial Narrow" w:hAnsi="Arial Narrow" w:cs="Arial Narrow"/>
      <w:lang w:bidi="en-US"/>
    </w:rPr>
  </w:style>
  <w:style w:type="character" w:styleId="CommentReference">
    <w:name w:val="annotation reference"/>
    <w:basedOn w:val="DefaultParagraphFont"/>
    <w:semiHidden/>
    <w:unhideWhenUsed/>
    <w:rsid w:val="009E6ED1"/>
    <w:rPr>
      <w:sz w:val="16"/>
      <w:szCs w:val="16"/>
    </w:rPr>
  </w:style>
  <w:style w:type="paragraph" w:styleId="CommentText">
    <w:name w:val="annotation text"/>
    <w:basedOn w:val="Normal"/>
    <w:link w:val="CommentTextChar"/>
    <w:semiHidden/>
    <w:unhideWhenUsed/>
    <w:rsid w:val="009E6ED1"/>
    <w:rPr>
      <w:sz w:val="20"/>
      <w:szCs w:val="20"/>
    </w:rPr>
  </w:style>
  <w:style w:type="character" w:customStyle="1" w:styleId="CommentTextChar">
    <w:name w:val="Comment Text Char"/>
    <w:basedOn w:val="DefaultParagraphFont"/>
    <w:link w:val="CommentText"/>
    <w:semiHidden/>
    <w:rsid w:val="009E6ED1"/>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9E6ED1"/>
    <w:rPr>
      <w:b/>
      <w:bCs/>
    </w:rPr>
  </w:style>
  <w:style w:type="character" w:customStyle="1" w:styleId="CommentSubjectChar">
    <w:name w:val="Comment Subject Char"/>
    <w:basedOn w:val="CommentTextChar"/>
    <w:link w:val="CommentSubject"/>
    <w:uiPriority w:val="99"/>
    <w:semiHidden/>
    <w:rsid w:val="009E6ED1"/>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9E6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D1"/>
    <w:rPr>
      <w:rFonts w:ascii="Segoe UI" w:eastAsia="Arial Narrow" w:hAnsi="Segoe UI" w:cs="Segoe UI"/>
      <w:sz w:val="18"/>
      <w:szCs w:val="18"/>
      <w:lang w:bidi="en-US"/>
    </w:rPr>
  </w:style>
  <w:style w:type="table" w:styleId="TableGrid">
    <w:name w:val="Table Grid"/>
    <w:basedOn w:val="TableNormal"/>
    <w:uiPriority w:val="39"/>
    <w:rsid w:val="0005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Malica Dock</cp:lastModifiedBy>
  <cp:revision>33</cp:revision>
  <dcterms:created xsi:type="dcterms:W3CDTF">2020-07-09T18:42:00Z</dcterms:created>
  <dcterms:modified xsi:type="dcterms:W3CDTF">2021-06-22T19:48:00Z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17 for Word</vt:lpwstr>
  </property>
  <property fmtid="{D5CDD505-2E9C-101B-9397-08002B2CF9AE}" pid="4" name="LastSaved">
    <vt:filetime>2019-07-29T00:00:00Z</vt:filetime>
  </property>
</Properties>
</file>