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782F" w14:textId="68A89CD6" w:rsidR="001B56EF" w:rsidRPr="005416CE" w:rsidRDefault="001B56EF" w:rsidP="0060136E">
      <w:pPr>
        <w:rPr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330"/>
        <w:gridCol w:w="7020"/>
      </w:tblGrid>
      <w:tr w:rsidR="00945A6D" w:rsidRPr="005416CE" w14:paraId="039F9C4F" w14:textId="77777777" w:rsidTr="13E5E14C">
        <w:trPr>
          <w:cantSplit/>
        </w:trPr>
        <w:tc>
          <w:tcPr>
            <w:tcW w:w="10795" w:type="dxa"/>
            <w:gridSpan w:val="3"/>
          </w:tcPr>
          <w:p w14:paraId="703787AA" w14:textId="0A2A4BCD" w:rsidR="00945A6D" w:rsidRDefault="00945A6D" w:rsidP="00D743CD">
            <w:pPr>
              <w:pStyle w:val="ChecklistBasis"/>
              <w:rPr>
                <w:sz w:val="22"/>
                <w:szCs w:val="22"/>
              </w:rPr>
            </w:pPr>
            <w:r w:rsidRPr="723EDA21">
              <w:rPr>
                <w:sz w:val="22"/>
                <w:szCs w:val="22"/>
              </w:rPr>
              <w:t>The purpose of this worksheet is to provide support fo</w:t>
            </w:r>
            <w:r w:rsidR="000A4AA7" w:rsidRPr="723EDA21">
              <w:rPr>
                <w:sz w:val="22"/>
                <w:szCs w:val="22"/>
              </w:rPr>
              <w:t>r</w:t>
            </w:r>
            <w:r w:rsidRPr="723EDA21">
              <w:rPr>
                <w:sz w:val="22"/>
                <w:szCs w:val="22"/>
              </w:rPr>
              <w:t xml:space="preserve"> </w:t>
            </w:r>
            <w:r w:rsidRPr="723EDA21">
              <w:rPr>
                <w:sz w:val="22"/>
                <w:szCs w:val="22"/>
                <w:u w:val="double"/>
              </w:rPr>
              <w:t>Designated Reviewers</w:t>
            </w:r>
            <w:r w:rsidR="000A4AA7" w:rsidRPr="723EDA21">
              <w:rPr>
                <w:sz w:val="22"/>
                <w:szCs w:val="22"/>
                <w:u w:val="double"/>
              </w:rPr>
              <w:t xml:space="preserve"> or a </w:t>
            </w:r>
            <w:r w:rsidR="00151E05">
              <w:rPr>
                <w:sz w:val="22"/>
                <w:szCs w:val="22"/>
                <w:u w:val="double"/>
              </w:rPr>
              <w:t>c</w:t>
            </w:r>
            <w:r w:rsidR="000A4AA7" w:rsidRPr="723EDA21">
              <w:rPr>
                <w:sz w:val="22"/>
                <w:szCs w:val="22"/>
                <w:u w:val="double"/>
              </w:rPr>
              <w:t>onvened IRB</w:t>
            </w:r>
            <w:r w:rsidRPr="723EDA21">
              <w:rPr>
                <w:sz w:val="22"/>
                <w:szCs w:val="22"/>
              </w:rPr>
              <w:t xml:space="preserve"> when determining whether a </w:t>
            </w:r>
            <w:r w:rsidR="3FD8B0C3" w:rsidRPr="723EDA21">
              <w:rPr>
                <w:sz w:val="22"/>
                <w:szCs w:val="22"/>
              </w:rPr>
              <w:t>M</w:t>
            </w:r>
            <w:r w:rsidR="000A4AA7" w:rsidRPr="723EDA21">
              <w:rPr>
                <w:sz w:val="22"/>
                <w:szCs w:val="22"/>
              </w:rPr>
              <w:t xml:space="preserve">inimal </w:t>
            </w:r>
            <w:r w:rsidR="2016C5E1" w:rsidRPr="723EDA21">
              <w:rPr>
                <w:sz w:val="22"/>
                <w:szCs w:val="22"/>
              </w:rPr>
              <w:t>R</w:t>
            </w:r>
            <w:r w:rsidR="000A4AA7" w:rsidRPr="723EDA21">
              <w:rPr>
                <w:sz w:val="22"/>
                <w:szCs w:val="22"/>
              </w:rPr>
              <w:t xml:space="preserve">isk </w:t>
            </w:r>
            <w:r w:rsidR="07C188BC" w:rsidRPr="723EDA21">
              <w:rPr>
                <w:sz w:val="22"/>
                <w:szCs w:val="22"/>
              </w:rPr>
              <w:t>S</w:t>
            </w:r>
            <w:r w:rsidRPr="723EDA21">
              <w:rPr>
                <w:sz w:val="22"/>
                <w:szCs w:val="22"/>
              </w:rPr>
              <w:t xml:space="preserve">tudy requires Continuing Review </w:t>
            </w:r>
            <w:r w:rsidR="00667555" w:rsidRPr="723EDA21">
              <w:rPr>
                <w:sz w:val="22"/>
                <w:szCs w:val="22"/>
              </w:rPr>
              <w:t xml:space="preserve">rather than a </w:t>
            </w:r>
            <w:r w:rsidR="40490700" w:rsidRPr="723EDA21">
              <w:rPr>
                <w:sz w:val="22"/>
                <w:szCs w:val="22"/>
              </w:rPr>
              <w:t>S</w:t>
            </w:r>
            <w:r w:rsidR="00667555" w:rsidRPr="723EDA21">
              <w:rPr>
                <w:sz w:val="22"/>
                <w:szCs w:val="22"/>
              </w:rPr>
              <w:t xml:space="preserve">tatus </w:t>
            </w:r>
            <w:r w:rsidR="346547DF" w:rsidRPr="723EDA21">
              <w:rPr>
                <w:sz w:val="22"/>
                <w:szCs w:val="22"/>
              </w:rPr>
              <w:t>R</w:t>
            </w:r>
            <w:r w:rsidR="00667555" w:rsidRPr="723EDA21">
              <w:rPr>
                <w:sz w:val="22"/>
                <w:szCs w:val="22"/>
              </w:rPr>
              <w:t>eport</w:t>
            </w:r>
            <w:r w:rsidRPr="723EDA21">
              <w:rPr>
                <w:sz w:val="22"/>
                <w:szCs w:val="22"/>
              </w:rPr>
              <w:t>. This worksheet is to be used. It does not need to be completed or retained.</w:t>
            </w:r>
          </w:p>
          <w:p w14:paraId="13AAA974" w14:textId="1533808A" w:rsidR="009C704D" w:rsidRDefault="009C704D" w:rsidP="00D743CD">
            <w:pPr>
              <w:pStyle w:val="ChecklistBasis"/>
              <w:rPr>
                <w:sz w:val="22"/>
                <w:szCs w:val="22"/>
              </w:rPr>
            </w:pPr>
          </w:p>
          <w:p w14:paraId="73D6E6DA" w14:textId="4FD75E76" w:rsidR="009C704D" w:rsidRDefault="009C704D" w:rsidP="5CE52BA8">
            <w:pPr>
              <w:pStyle w:val="ChecklistBasis"/>
              <w:rPr>
                <w:szCs w:val="20"/>
              </w:rPr>
            </w:pPr>
            <w:r w:rsidRPr="5CE52BA8">
              <w:rPr>
                <w:szCs w:val="20"/>
              </w:rPr>
              <w:t xml:space="preserve">Continuing Review is </w:t>
            </w:r>
            <w:r w:rsidRPr="5CE52BA8">
              <w:rPr>
                <w:b/>
                <w:bCs/>
                <w:szCs w:val="20"/>
                <w:u w:val="single"/>
              </w:rPr>
              <w:t>not</w:t>
            </w:r>
            <w:r w:rsidRPr="5CE52BA8">
              <w:rPr>
                <w:b/>
                <w:bCs/>
                <w:szCs w:val="20"/>
              </w:rPr>
              <w:t xml:space="preserve"> </w:t>
            </w:r>
            <w:r w:rsidRPr="5CE52BA8">
              <w:rPr>
                <w:szCs w:val="20"/>
              </w:rPr>
              <w:t>required under</w:t>
            </w:r>
            <w:r w:rsidR="004D3DF6" w:rsidRPr="5CE52BA8">
              <w:rPr>
                <w:szCs w:val="20"/>
              </w:rPr>
              <w:t xml:space="preserve"> the</w:t>
            </w:r>
            <w:r w:rsidRPr="5CE52BA8">
              <w:rPr>
                <w:szCs w:val="20"/>
              </w:rPr>
              <w:t xml:space="preserve"> following </w:t>
            </w:r>
            <w:r w:rsidR="004D3DF6" w:rsidRPr="5CE52BA8">
              <w:rPr>
                <w:szCs w:val="20"/>
              </w:rPr>
              <w:t xml:space="preserve">select minimal risks of harm </w:t>
            </w:r>
            <w:r w:rsidRPr="5CE52BA8">
              <w:rPr>
                <w:szCs w:val="20"/>
              </w:rPr>
              <w:t>circumstances</w:t>
            </w:r>
            <w:r w:rsidR="002C0511" w:rsidRPr="5CE52BA8">
              <w:rPr>
                <w:szCs w:val="20"/>
              </w:rPr>
              <w:t xml:space="preserve"> for studies regulated under the Revised Common Rule</w:t>
            </w:r>
            <w:r w:rsidR="0093149E" w:rsidRPr="5CE52BA8">
              <w:rPr>
                <w:rStyle w:val="FootnoteReference"/>
                <w:szCs w:val="20"/>
              </w:rPr>
              <w:footnoteReference w:id="2"/>
            </w:r>
            <w:r w:rsidR="69109A57" w:rsidRPr="13E5E14C">
              <w:rPr>
                <w:szCs w:val="20"/>
              </w:rPr>
              <w:t xml:space="preserve"> or for unfunded studies not regulated by any </w:t>
            </w:r>
            <w:r w:rsidR="2127FDD2" w:rsidRPr="13E5E14C">
              <w:rPr>
                <w:szCs w:val="20"/>
              </w:rPr>
              <w:t>outside agency or institution.</w:t>
            </w:r>
          </w:p>
          <w:p w14:paraId="4B98871F" w14:textId="385EBE0E" w:rsidR="009C704D" w:rsidRDefault="009C704D" w:rsidP="5CE52BA8">
            <w:pPr>
              <w:pStyle w:val="ChecklistBasis"/>
              <w:numPr>
                <w:ilvl w:val="0"/>
                <w:numId w:val="45"/>
              </w:numPr>
              <w:rPr>
                <w:szCs w:val="20"/>
              </w:rPr>
            </w:pPr>
            <w:r w:rsidRPr="5CE52BA8">
              <w:rPr>
                <w:szCs w:val="20"/>
              </w:rPr>
              <w:t>Research eligible for expedited review;</w:t>
            </w:r>
          </w:p>
          <w:p w14:paraId="25AE03F1" w14:textId="040D74E5" w:rsidR="009C704D" w:rsidRPr="00F23D2B" w:rsidRDefault="009C704D" w:rsidP="5CE52BA8">
            <w:pPr>
              <w:pStyle w:val="ChecklistBasis"/>
              <w:numPr>
                <w:ilvl w:val="0"/>
                <w:numId w:val="45"/>
              </w:numPr>
              <w:rPr>
                <w:szCs w:val="20"/>
              </w:rPr>
            </w:pPr>
            <w:r w:rsidRPr="5CE52BA8">
              <w:rPr>
                <w:szCs w:val="20"/>
              </w:rPr>
              <w:t>Research reviewed by the IRB in accordance with limited IRB review;</w:t>
            </w:r>
          </w:p>
          <w:p w14:paraId="44C3B97F" w14:textId="0A783A93" w:rsidR="009C704D" w:rsidRDefault="009C704D" w:rsidP="5CE52BA8">
            <w:pPr>
              <w:pStyle w:val="ChecklistBasis"/>
              <w:numPr>
                <w:ilvl w:val="0"/>
                <w:numId w:val="45"/>
              </w:numPr>
              <w:rPr>
                <w:szCs w:val="20"/>
              </w:rPr>
            </w:pPr>
            <w:r w:rsidRPr="5CE52BA8">
              <w:rPr>
                <w:szCs w:val="20"/>
              </w:rPr>
              <w:t xml:space="preserve">Research that has progressed to the point that it only includes one or both of the following: </w:t>
            </w:r>
          </w:p>
          <w:p w14:paraId="416BC323" w14:textId="728BDC71" w:rsidR="009C704D" w:rsidRDefault="009C704D" w:rsidP="5CE52BA8">
            <w:pPr>
              <w:pStyle w:val="ChecklistBasis"/>
              <w:numPr>
                <w:ilvl w:val="0"/>
                <w:numId w:val="46"/>
              </w:numPr>
              <w:ind w:left="1080"/>
              <w:rPr>
                <w:szCs w:val="20"/>
              </w:rPr>
            </w:pPr>
            <w:r w:rsidRPr="5CE52BA8">
              <w:rPr>
                <w:szCs w:val="20"/>
              </w:rPr>
              <w:t>Data analysis, including analysis of identifiable private information or identifiable biospecimens, or</w:t>
            </w:r>
          </w:p>
          <w:p w14:paraId="7A94E118" w14:textId="09DE5E01" w:rsidR="009C704D" w:rsidRDefault="009C704D" w:rsidP="5CE52BA8">
            <w:pPr>
              <w:pStyle w:val="ChecklistBasis"/>
              <w:numPr>
                <w:ilvl w:val="0"/>
                <w:numId w:val="46"/>
              </w:numPr>
              <w:ind w:left="1080"/>
              <w:rPr>
                <w:szCs w:val="20"/>
              </w:rPr>
            </w:pPr>
            <w:r w:rsidRPr="5CE52BA8">
              <w:rPr>
                <w:szCs w:val="20"/>
              </w:rPr>
              <w:t>Accessing follow-up clinical data from procedures that subjects would undergo as part of clinical care</w:t>
            </w:r>
          </w:p>
          <w:p w14:paraId="144E9E1D" w14:textId="77777777" w:rsidR="00D375C1" w:rsidRDefault="00D375C1" w:rsidP="5CE52BA8">
            <w:pPr>
              <w:pStyle w:val="ChecklistBasis"/>
              <w:rPr>
                <w:szCs w:val="20"/>
              </w:rPr>
            </w:pPr>
          </w:p>
          <w:p w14:paraId="24B375A5" w14:textId="3CC6EF3D" w:rsidR="00FF2C59" w:rsidRDefault="00322292" w:rsidP="5CE52BA8">
            <w:pPr>
              <w:pStyle w:val="ChecklistBasis"/>
              <w:rPr>
                <w:szCs w:val="20"/>
              </w:rPr>
            </w:pPr>
            <w:r w:rsidRPr="5CE52BA8">
              <w:rPr>
                <w:szCs w:val="20"/>
              </w:rPr>
              <w:t xml:space="preserve">When </w:t>
            </w:r>
            <w:r w:rsidR="002845CF" w:rsidRPr="5CE52BA8">
              <w:rPr>
                <w:szCs w:val="20"/>
              </w:rPr>
              <w:t xml:space="preserve">submission of </w:t>
            </w:r>
            <w:r w:rsidRPr="5CE52BA8">
              <w:rPr>
                <w:szCs w:val="20"/>
              </w:rPr>
              <w:t>Continuing Review is not required,</w:t>
            </w:r>
            <w:r w:rsidR="009C704D" w:rsidRPr="5CE52BA8">
              <w:rPr>
                <w:szCs w:val="20"/>
              </w:rPr>
              <w:t xml:space="preserve"> </w:t>
            </w:r>
            <w:r w:rsidR="00FF2C59" w:rsidRPr="5CE52BA8">
              <w:rPr>
                <w:szCs w:val="20"/>
              </w:rPr>
              <w:t xml:space="preserve">the PI </w:t>
            </w:r>
            <w:r w:rsidRPr="5CE52BA8">
              <w:rPr>
                <w:szCs w:val="20"/>
              </w:rPr>
              <w:t>must</w:t>
            </w:r>
            <w:r w:rsidR="00FF2C59" w:rsidRPr="5CE52BA8">
              <w:rPr>
                <w:szCs w:val="20"/>
              </w:rPr>
              <w:t xml:space="preserve"> </w:t>
            </w:r>
            <w:r w:rsidRPr="5CE52BA8">
              <w:rPr>
                <w:szCs w:val="20"/>
              </w:rPr>
              <w:t>submit</w:t>
            </w:r>
            <w:r w:rsidR="00FF2C59" w:rsidRPr="5CE52BA8">
              <w:rPr>
                <w:szCs w:val="20"/>
              </w:rPr>
              <w:t xml:space="preserve"> a </w:t>
            </w:r>
            <w:r w:rsidR="009C704D" w:rsidRPr="5CE52BA8">
              <w:rPr>
                <w:szCs w:val="20"/>
              </w:rPr>
              <w:t>Status Report</w:t>
            </w:r>
            <w:r w:rsidR="00FF2C59" w:rsidRPr="5CE52BA8">
              <w:rPr>
                <w:szCs w:val="20"/>
              </w:rPr>
              <w:t xml:space="preserve"> in </w:t>
            </w:r>
            <w:proofErr w:type="spellStart"/>
            <w:r w:rsidR="00FF2C59" w:rsidRPr="5CE52BA8">
              <w:rPr>
                <w:szCs w:val="20"/>
              </w:rPr>
              <w:t>eIRB</w:t>
            </w:r>
            <w:proofErr w:type="spellEnd"/>
            <w:r w:rsidR="002845CF" w:rsidRPr="5CE52BA8">
              <w:rPr>
                <w:szCs w:val="20"/>
              </w:rPr>
              <w:t xml:space="preserve"> every 2 years</w:t>
            </w:r>
            <w:r w:rsidR="00FF2C59" w:rsidRPr="5CE52BA8">
              <w:rPr>
                <w:szCs w:val="20"/>
              </w:rPr>
              <w:t>.</w:t>
            </w:r>
          </w:p>
          <w:p w14:paraId="100C2610" w14:textId="77777777" w:rsidR="002F575C" w:rsidRDefault="002F575C" w:rsidP="5CE52BA8">
            <w:pPr>
              <w:pStyle w:val="ChecklistBasis"/>
              <w:rPr>
                <w:szCs w:val="20"/>
              </w:rPr>
            </w:pPr>
          </w:p>
          <w:p w14:paraId="14388A81" w14:textId="77777777" w:rsidR="002F575C" w:rsidRDefault="009C704D" w:rsidP="5CE52BA8">
            <w:pPr>
              <w:pStyle w:val="ChecklistBasis"/>
              <w:rPr>
                <w:szCs w:val="20"/>
              </w:rPr>
            </w:pPr>
            <w:r w:rsidRPr="5CE52BA8">
              <w:rPr>
                <w:szCs w:val="20"/>
              </w:rPr>
              <w:t xml:space="preserve">However, </w:t>
            </w:r>
            <w:r w:rsidR="00FF2C59" w:rsidRPr="5CE52BA8">
              <w:rPr>
                <w:szCs w:val="20"/>
              </w:rPr>
              <w:t>institutional policy or IRB discretion may require</w:t>
            </w:r>
            <w:r w:rsidRPr="5CE52BA8">
              <w:rPr>
                <w:szCs w:val="20"/>
              </w:rPr>
              <w:t xml:space="preserve"> </w:t>
            </w:r>
            <w:r w:rsidR="002845CF" w:rsidRPr="5CE52BA8">
              <w:rPr>
                <w:szCs w:val="20"/>
              </w:rPr>
              <w:t xml:space="preserve">the </w:t>
            </w:r>
            <w:r w:rsidR="00083106" w:rsidRPr="5CE52BA8">
              <w:rPr>
                <w:szCs w:val="20"/>
              </w:rPr>
              <w:t xml:space="preserve">submission of a </w:t>
            </w:r>
            <w:r w:rsidR="00083106" w:rsidRPr="5CE52BA8">
              <w:rPr>
                <w:i/>
                <w:iCs/>
                <w:szCs w:val="20"/>
                <w:u w:val="single"/>
              </w:rPr>
              <w:t>C</w:t>
            </w:r>
            <w:r w:rsidRPr="5CE52BA8">
              <w:rPr>
                <w:i/>
                <w:iCs/>
                <w:szCs w:val="20"/>
                <w:u w:val="single"/>
              </w:rPr>
              <w:t xml:space="preserve">ontinuing </w:t>
            </w:r>
            <w:r w:rsidR="00083106" w:rsidRPr="5CE52BA8">
              <w:rPr>
                <w:i/>
                <w:iCs/>
                <w:szCs w:val="20"/>
                <w:u w:val="single"/>
              </w:rPr>
              <w:t>R</w:t>
            </w:r>
            <w:r w:rsidR="00FF2C59" w:rsidRPr="5CE52BA8">
              <w:rPr>
                <w:i/>
                <w:iCs/>
                <w:szCs w:val="20"/>
                <w:u w:val="single"/>
              </w:rPr>
              <w:t>eview</w:t>
            </w:r>
            <w:r w:rsidR="00FF2C59" w:rsidRPr="5CE52BA8">
              <w:rPr>
                <w:szCs w:val="20"/>
              </w:rPr>
              <w:t xml:space="preserve"> </w:t>
            </w:r>
            <w:r w:rsidR="00083106" w:rsidRPr="5CE52BA8">
              <w:rPr>
                <w:szCs w:val="20"/>
              </w:rPr>
              <w:t>report for</w:t>
            </w:r>
            <w:r w:rsidR="00FF2C59" w:rsidRPr="5CE52BA8">
              <w:rPr>
                <w:szCs w:val="20"/>
              </w:rPr>
              <w:t xml:space="preserve"> research that otherwise qualifies for a </w:t>
            </w:r>
            <w:r w:rsidR="00FF2C59" w:rsidRPr="5CE52BA8">
              <w:rPr>
                <w:i/>
                <w:iCs/>
                <w:szCs w:val="20"/>
                <w:u w:val="single"/>
              </w:rPr>
              <w:t>Status Report</w:t>
            </w:r>
            <w:r w:rsidR="00FF2C59" w:rsidRPr="5CE52BA8">
              <w:rPr>
                <w:szCs w:val="20"/>
              </w:rPr>
              <w:t xml:space="preserve">. </w:t>
            </w:r>
          </w:p>
          <w:p w14:paraId="4E7A7783" w14:textId="77777777" w:rsidR="002F575C" w:rsidRDefault="002F575C" w:rsidP="5CE52BA8">
            <w:pPr>
              <w:pStyle w:val="ChecklistBasis"/>
              <w:rPr>
                <w:szCs w:val="20"/>
              </w:rPr>
            </w:pPr>
          </w:p>
          <w:p w14:paraId="4DF1BEDF" w14:textId="58264038" w:rsidR="009C704D" w:rsidRDefault="00FF2C59" w:rsidP="5CE52BA8">
            <w:pPr>
              <w:pStyle w:val="ChecklistBasis"/>
              <w:rPr>
                <w:szCs w:val="20"/>
              </w:rPr>
            </w:pPr>
            <w:r w:rsidRPr="5CE52BA8">
              <w:rPr>
                <w:szCs w:val="20"/>
              </w:rPr>
              <w:t xml:space="preserve">This worksheet lists scenarios when continuing review is required per Rutgers policy </w:t>
            </w:r>
            <w:r w:rsidR="00DE30C2" w:rsidRPr="5CE52BA8">
              <w:rPr>
                <w:szCs w:val="20"/>
              </w:rPr>
              <w:t xml:space="preserve">or </w:t>
            </w:r>
            <w:r w:rsidRPr="5CE52BA8">
              <w:rPr>
                <w:szCs w:val="20"/>
              </w:rPr>
              <w:t xml:space="preserve">when a continuing review may be indicated. When a Designated Reviewer or IRB requires a continuing review of research that otherwise qualifies for a Status report, the rationale for requiring continuing review must be documented in e-IRB.  </w:t>
            </w:r>
            <w:r w:rsidR="009C704D" w:rsidRPr="5CE52BA8">
              <w:rPr>
                <w:szCs w:val="20"/>
              </w:rPr>
              <w:t xml:space="preserve"> </w:t>
            </w:r>
          </w:p>
          <w:p w14:paraId="12124F16" w14:textId="6370C1D4" w:rsidR="0025209A" w:rsidRDefault="0025209A" w:rsidP="5CE52BA8">
            <w:pPr>
              <w:pStyle w:val="ChecklistBasis"/>
              <w:rPr>
                <w:szCs w:val="20"/>
              </w:rPr>
            </w:pPr>
          </w:p>
          <w:p w14:paraId="095B0370" w14:textId="2960AD8A" w:rsidR="003A177C" w:rsidRPr="008C109B" w:rsidRDefault="0025209A" w:rsidP="5CE52BA8">
            <w:pPr>
              <w:rPr>
                <w:rFonts w:ascii="Arial Narrow" w:hAnsi="Arial Narrow" w:cstheme="minorBidi"/>
                <w:sz w:val="20"/>
                <w:szCs w:val="20"/>
              </w:rPr>
            </w:pPr>
            <w:r w:rsidRPr="5CE52BA8">
              <w:rPr>
                <w:rFonts w:ascii="Arial Narrow" w:hAnsi="Arial Narrow" w:cstheme="minorBidi"/>
                <w:sz w:val="20"/>
                <w:szCs w:val="20"/>
              </w:rPr>
              <w:t xml:space="preserve">NOTE: Studies deemed to be Non-Human Research or qualify for Exempt Review do not require either a Status Report or Continuing Review. </w:t>
            </w:r>
          </w:p>
        </w:tc>
      </w:tr>
      <w:tr w:rsidR="00945A6D" w:rsidRPr="005416CE" w14:paraId="29A99183" w14:textId="77777777" w:rsidTr="13E5E14C">
        <w:trPr>
          <w:trHeight w:hRule="exact" w:val="72"/>
        </w:trPr>
        <w:tc>
          <w:tcPr>
            <w:tcW w:w="10795" w:type="dxa"/>
            <w:gridSpan w:val="3"/>
            <w:shd w:val="clear" w:color="auto" w:fill="000000" w:themeFill="text1"/>
          </w:tcPr>
          <w:p w14:paraId="1D3C3428" w14:textId="77777777" w:rsidR="00945A6D" w:rsidRPr="005416CE" w:rsidRDefault="00945A6D" w:rsidP="00D743CD">
            <w:pPr>
              <w:pStyle w:val="StatementLevel1"/>
              <w:rPr>
                <w:sz w:val="22"/>
                <w:szCs w:val="22"/>
              </w:rPr>
            </w:pPr>
          </w:p>
        </w:tc>
      </w:tr>
      <w:tr w:rsidR="00945A6D" w:rsidRPr="005416CE" w14:paraId="5CB7FD01" w14:textId="77777777" w:rsidTr="13E5E14C">
        <w:trPr>
          <w:trHeight w:val="269"/>
        </w:trPr>
        <w:tc>
          <w:tcPr>
            <w:tcW w:w="10795" w:type="dxa"/>
            <w:gridSpan w:val="3"/>
            <w:vAlign w:val="center"/>
          </w:tcPr>
          <w:p w14:paraId="69402428" w14:textId="2389D60C" w:rsidR="00945A6D" w:rsidRPr="00B74C37" w:rsidRDefault="00945A6D" w:rsidP="43695C20">
            <w:pPr>
              <w:pStyle w:val="ChecklistLevel1"/>
              <w:rPr>
                <w:sz w:val="24"/>
              </w:rPr>
            </w:pPr>
            <w:r w:rsidRPr="13E5E14C">
              <w:rPr>
                <w:sz w:val="24"/>
              </w:rPr>
              <w:t xml:space="preserve">Identify </w:t>
            </w:r>
            <w:proofErr w:type="gramStart"/>
            <w:r w:rsidRPr="13E5E14C">
              <w:rPr>
                <w:sz w:val="24"/>
              </w:rPr>
              <w:t>The</w:t>
            </w:r>
            <w:proofErr w:type="gramEnd"/>
            <w:r w:rsidR="00C96C1C" w:rsidRPr="13E5E14C">
              <w:rPr>
                <w:sz w:val="24"/>
              </w:rPr>
              <w:t xml:space="preserve"> </w:t>
            </w:r>
            <w:r w:rsidR="003F157E" w:rsidRPr="13E5E14C">
              <w:rPr>
                <w:sz w:val="24"/>
              </w:rPr>
              <w:t>Rationale</w:t>
            </w:r>
            <w:r w:rsidR="00357175" w:rsidRPr="13E5E14C">
              <w:rPr>
                <w:sz w:val="24"/>
              </w:rPr>
              <w:t xml:space="preserve"> Of Requiring A Continuing Review</w:t>
            </w:r>
            <w:r w:rsidR="701E13B4" w:rsidRPr="13E5E14C">
              <w:rPr>
                <w:b w:val="0"/>
                <w:sz w:val="24"/>
              </w:rPr>
              <w:t xml:space="preserve"> (Select All That Apply</w:t>
            </w:r>
            <w:r w:rsidR="00B83F5D" w:rsidRPr="13E5E14C">
              <w:rPr>
                <w:b w:val="0"/>
                <w:sz w:val="24"/>
              </w:rPr>
              <w:t xml:space="preserve"> Under A and B</w:t>
            </w:r>
            <w:r w:rsidR="701E13B4" w:rsidRPr="13E5E14C">
              <w:rPr>
                <w:b w:val="0"/>
                <w:sz w:val="24"/>
              </w:rPr>
              <w:t>)</w:t>
            </w:r>
          </w:p>
        </w:tc>
      </w:tr>
      <w:tr w:rsidR="00353E1E" w14:paraId="6F24691B" w14:textId="77777777" w:rsidTr="13E5E14C">
        <w:trPr>
          <w:trHeight w:val="47"/>
        </w:trPr>
        <w:tc>
          <w:tcPr>
            <w:tcW w:w="10795" w:type="dxa"/>
            <w:gridSpan w:val="3"/>
            <w:vAlign w:val="center"/>
          </w:tcPr>
          <w:p w14:paraId="36A1902A" w14:textId="77777777" w:rsidR="00353E1E" w:rsidRPr="00353E1E" w:rsidRDefault="00353E1E" w:rsidP="00D25360">
            <w:pPr>
              <w:pStyle w:val="ChecklistLevel1"/>
              <w:numPr>
                <w:ilvl w:val="0"/>
                <w:numId w:val="0"/>
              </w:numPr>
              <w:contextualSpacing/>
            </w:pPr>
          </w:p>
        </w:tc>
      </w:tr>
      <w:tr w:rsidR="00353E1E" w14:paraId="75E5DEB5" w14:textId="77777777" w:rsidTr="13E5E14C">
        <w:trPr>
          <w:trHeight w:val="332"/>
        </w:trPr>
        <w:tc>
          <w:tcPr>
            <w:tcW w:w="10795" w:type="dxa"/>
            <w:gridSpan w:val="3"/>
            <w:shd w:val="clear" w:color="auto" w:fill="D9D9D9" w:themeFill="background1" w:themeFillShade="D9"/>
            <w:vAlign w:val="center"/>
          </w:tcPr>
          <w:p w14:paraId="74207A10" w14:textId="5A26DE6B" w:rsidR="00353E1E" w:rsidRDefault="00353E1E" w:rsidP="001B0B19">
            <w:pPr>
              <w:pStyle w:val="ChecklistLevel1"/>
              <w:numPr>
                <w:ilvl w:val="0"/>
                <w:numId w:val="42"/>
              </w:numPr>
              <w:ind w:left="338"/>
              <w:contextualSpacing/>
            </w:pPr>
            <w:r w:rsidRPr="00353E1E">
              <w:t>Required Per Rutgers IRB Policy</w:t>
            </w:r>
          </w:p>
        </w:tc>
      </w:tr>
      <w:tr w:rsidR="001B0B19" w14:paraId="4D824CEF" w14:textId="77777777" w:rsidTr="13E5E14C">
        <w:trPr>
          <w:trHeight w:val="47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1578636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434B1" w14:textId="6BD381D9" w:rsidR="723EDA21" w:rsidRPr="00541161" w:rsidRDefault="001B0B19" w:rsidP="00541161">
                <w:pPr>
                  <w:pStyle w:val="ChecklistLevel1"/>
                  <w:numPr>
                    <w:ilvl w:val="0"/>
                    <w:numId w:val="0"/>
                  </w:numPr>
                  <w:rPr>
                    <w:rFonts w:ascii="MS Gothic" w:eastAsia="MS Gothic" w:hAnsi="MS Gothic"/>
                    <w:b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EF7D8F0" w14:textId="77777777" w:rsidR="5CE52BA8" w:rsidRDefault="5CE52BA8"/>
        </w:tc>
        <w:tc>
          <w:tcPr>
            <w:tcW w:w="3330" w:type="dxa"/>
            <w:vAlign w:val="center"/>
          </w:tcPr>
          <w:p w14:paraId="64867CC2" w14:textId="5FCD8E28" w:rsidR="001B0B19" w:rsidRPr="001B0B19" w:rsidRDefault="00541161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rStyle w:val="Strong"/>
                <w:b/>
                <w:szCs w:val="20"/>
                <w:u w:val="single"/>
              </w:rPr>
            </w:pPr>
            <w:r w:rsidRPr="5CE52BA8">
              <w:rPr>
                <w:rStyle w:val="Strong"/>
                <w:b/>
                <w:szCs w:val="20"/>
                <w:u w:val="single"/>
              </w:rPr>
              <w:t>Research</w:t>
            </w:r>
            <w:r w:rsidR="001B0B19" w:rsidRPr="5CE52BA8">
              <w:rPr>
                <w:rStyle w:val="Strong"/>
                <w:b/>
                <w:szCs w:val="20"/>
                <w:u w:val="single"/>
              </w:rPr>
              <w:t xml:space="preserve"> Repositor</w:t>
            </w:r>
            <w:r w:rsidRPr="5CE52BA8">
              <w:rPr>
                <w:rStyle w:val="Strong"/>
                <w:b/>
                <w:szCs w:val="20"/>
                <w:u w:val="single"/>
              </w:rPr>
              <w:t>y</w:t>
            </w:r>
          </w:p>
        </w:tc>
        <w:tc>
          <w:tcPr>
            <w:tcW w:w="7020" w:type="dxa"/>
            <w:vAlign w:val="center"/>
          </w:tcPr>
          <w:p w14:paraId="2FC256A2" w14:textId="5C092942" w:rsidR="001B0B19" w:rsidRPr="0069273E" w:rsidRDefault="46414D65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rStyle w:val="Strong"/>
                <w:szCs w:val="20"/>
                <w:u w:val="single"/>
              </w:rPr>
            </w:pPr>
            <w:r w:rsidRPr="5CE52BA8">
              <w:rPr>
                <w:rStyle w:val="Strong"/>
                <w:szCs w:val="20"/>
              </w:rPr>
              <w:t xml:space="preserve">For </w:t>
            </w:r>
            <w:r w:rsidR="00541161" w:rsidRPr="5CE52BA8">
              <w:rPr>
                <w:rStyle w:val="Strong"/>
                <w:szCs w:val="20"/>
              </w:rPr>
              <w:t>projects</w:t>
            </w:r>
            <w:r w:rsidRPr="5CE52BA8">
              <w:rPr>
                <w:rStyle w:val="Strong"/>
                <w:szCs w:val="20"/>
              </w:rPr>
              <w:t xml:space="preserve"> </w:t>
            </w:r>
            <w:r w:rsidR="00151E05" w:rsidRPr="5CE52BA8">
              <w:rPr>
                <w:rStyle w:val="Strong"/>
                <w:szCs w:val="20"/>
              </w:rPr>
              <w:t>established</w:t>
            </w:r>
            <w:r w:rsidR="00A3107A" w:rsidRPr="5CE52BA8">
              <w:rPr>
                <w:rStyle w:val="Strong"/>
                <w:szCs w:val="20"/>
              </w:rPr>
              <w:t xml:space="preserve"> solely</w:t>
            </w:r>
            <w:r w:rsidR="00151E05" w:rsidRPr="5CE52BA8">
              <w:rPr>
                <w:rStyle w:val="Strong"/>
                <w:szCs w:val="20"/>
              </w:rPr>
              <w:t xml:space="preserve"> to </w:t>
            </w:r>
            <w:r w:rsidR="0069273E" w:rsidRPr="5CE52BA8">
              <w:rPr>
                <w:rStyle w:val="Strong"/>
                <w:szCs w:val="20"/>
              </w:rPr>
              <w:t>maintain a</w:t>
            </w:r>
            <w:r w:rsidR="00151E05" w:rsidRPr="5CE52BA8">
              <w:rPr>
                <w:rStyle w:val="Strong"/>
                <w:szCs w:val="20"/>
              </w:rPr>
              <w:t>n IRB-approved</w:t>
            </w:r>
            <w:r w:rsidR="0069273E" w:rsidRPr="5CE52BA8">
              <w:rPr>
                <w:rStyle w:val="Strong"/>
                <w:szCs w:val="20"/>
              </w:rPr>
              <w:t xml:space="preserve"> research repository</w:t>
            </w:r>
            <w:r w:rsidR="00CB1DFC" w:rsidRPr="5CE52BA8">
              <w:rPr>
                <w:rStyle w:val="Strong"/>
                <w:szCs w:val="20"/>
              </w:rPr>
              <w:t>--Data and/or Specimens</w:t>
            </w:r>
            <w:r w:rsidR="00504598" w:rsidRPr="5CE52BA8">
              <w:rPr>
                <w:rStyle w:val="Strong"/>
                <w:szCs w:val="20"/>
              </w:rPr>
              <w:t>--</w:t>
            </w:r>
            <w:r w:rsidR="00CB1DFC" w:rsidRPr="5CE52BA8">
              <w:rPr>
                <w:rStyle w:val="Strong"/>
                <w:szCs w:val="20"/>
              </w:rPr>
              <w:t xml:space="preserve">that will be used by a single investigator </w:t>
            </w:r>
            <w:r w:rsidR="0090026D" w:rsidRPr="5CE52BA8">
              <w:rPr>
                <w:rStyle w:val="Strong"/>
                <w:szCs w:val="20"/>
              </w:rPr>
              <w:t xml:space="preserve">or </w:t>
            </w:r>
            <w:r w:rsidR="00CB1DFC" w:rsidRPr="5CE52BA8">
              <w:rPr>
                <w:rStyle w:val="Strong"/>
                <w:szCs w:val="20"/>
              </w:rPr>
              <w:t>shared with multiple investigators for future research not yet defined</w:t>
            </w:r>
            <w:r w:rsidR="00504598" w:rsidRPr="5CE52BA8">
              <w:rPr>
                <w:rStyle w:val="Strong"/>
                <w:szCs w:val="20"/>
              </w:rPr>
              <w:t>.</w:t>
            </w:r>
            <w:r w:rsidR="0069273E" w:rsidRPr="5CE52BA8">
              <w:rPr>
                <w:rStyle w:val="Strong"/>
                <w:szCs w:val="20"/>
              </w:rPr>
              <w:t xml:space="preserve"> </w:t>
            </w:r>
            <w:r w:rsidR="00504598" w:rsidRPr="5CE52BA8">
              <w:rPr>
                <w:rStyle w:val="Strong"/>
                <w:szCs w:val="20"/>
              </w:rPr>
              <w:t>(This option does not apply to research that proposes to store data/specimens in an establ</w:t>
            </w:r>
            <w:r w:rsidR="0090026D" w:rsidRPr="5CE52BA8">
              <w:rPr>
                <w:rStyle w:val="Strong"/>
                <w:szCs w:val="20"/>
              </w:rPr>
              <w:t>ish</w:t>
            </w:r>
            <w:r w:rsidR="00504598" w:rsidRPr="5CE52BA8">
              <w:rPr>
                <w:rStyle w:val="Strong"/>
                <w:szCs w:val="20"/>
              </w:rPr>
              <w:t xml:space="preserve">ed </w:t>
            </w:r>
            <w:r w:rsidR="0090026D" w:rsidRPr="5CE52BA8">
              <w:rPr>
                <w:rStyle w:val="Strong"/>
                <w:szCs w:val="20"/>
              </w:rPr>
              <w:t>IRB-approved R</w:t>
            </w:r>
            <w:r w:rsidR="00504598" w:rsidRPr="5CE52BA8">
              <w:rPr>
                <w:rStyle w:val="Strong"/>
                <w:szCs w:val="20"/>
              </w:rPr>
              <w:t xml:space="preserve">esearch </w:t>
            </w:r>
            <w:r w:rsidR="0090026D" w:rsidRPr="5CE52BA8">
              <w:rPr>
                <w:rStyle w:val="Strong"/>
                <w:szCs w:val="20"/>
              </w:rPr>
              <w:t>R</w:t>
            </w:r>
            <w:r w:rsidR="00504598" w:rsidRPr="5CE52BA8">
              <w:rPr>
                <w:rStyle w:val="Strong"/>
                <w:szCs w:val="20"/>
              </w:rPr>
              <w:t>epository).</w:t>
            </w:r>
          </w:p>
        </w:tc>
      </w:tr>
      <w:tr w:rsidR="001B0B19" w14:paraId="1B152D0A" w14:textId="77777777" w:rsidTr="13E5E14C">
        <w:trPr>
          <w:trHeight w:val="47"/>
        </w:trPr>
        <w:tc>
          <w:tcPr>
            <w:tcW w:w="445" w:type="dxa"/>
            <w:vAlign w:val="center"/>
          </w:tcPr>
          <w:p w14:paraId="0E714E97" w14:textId="5FB2A3AC" w:rsidR="723EDA21" w:rsidRPr="00541161" w:rsidRDefault="009335C4" w:rsidP="00541161">
            <w:pPr>
              <w:pStyle w:val="ChecklistLevel1"/>
              <w:numPr>
                <w:ilvl w:val="0"/>
                <w:numId w:val="0"/>
              </w:numPr>
              <w:rPr>
                <w:rFonts w:ascii="MS Gothic" w:eastAsia="MS Gothic" w:hAnsi="MS Gothic"/>
                <w:b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9640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0" w:type="dxa"/>
            <w:vAlign w:val="center"/>
          </w:tcPr>
          <w:p w14:paraId="57BD9B4E" w14:textId="7CCC24E7" w:rsidR="001B0B19" w:rsidRPr="001B0B19" w:rsidRDefault="001B0B19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rStyle w:val="Strong"/>
                <w:b/>
                <w:szCs w:val="20"/>
                <w:u w:val="single"/>
              </w:rPr>
            </w:pPr>
            <w:r w:rsidRPr="5CE52BA8">
              <w:rPr>
                <w:rStyle w:val="Strong"/>
                <w:b/>
                <w:szCs w:val="20"/>
                <w:u w:val="single"/>
              </w:rPr>
              <w:t>International</w:t>
            </w:r>
          </w:p>
        </w:tc>
        <w:tc>
          <w:tcPr>
            <w:tcW w:w="7020" w:type="dxa"/>
            <w:vAlign w:val="center"/>
          </w:tcPr>
          <w:p w14:paraId="1FFBD488" w14:textId="52B9F32B" w:rsidR="001B0B19" w:rsidRPr="00AC560B" w:rsidRDefault="26201B02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rStyle w:val="Strong"/>
                <w:szCs w:val="20"/>
              </w:rPr>
            </w:pPr>
            <w:r w:rsidRPr="5CE52BA8">
              <w:rPr>
                <w:rStyle w:val="Strong"/>
                <w:szCs w:val="20"/>
              </w:rPr>
              <w:t xml:space="preserve">For </w:t>
            </w:r>
            <w:r w:rsidR="00FB3662" w:rsidRPr="5CE52BA8">
              <w:rPr>
                <w:rStyle w:val="Strong"/>
                <w:szCs w:val="20"/>
              </w:rPr>
              <w:t>research</w:t>
            </w:r>
            <w:r w:rsidRPr="5CE52BA8">
              <w:rPr>
                <w:rStyle w:val="Strong"/>
                <w:szCs w:val="20"/>
              </w:rPr>
              <w:t xml:space="preserve"> </w:t>
            </w:r>
            <w:r w:rsidR="00FB3662" w:rsidRPr="5CE52BA8">
              <w:rPr>
                <w:rStyle w:val="Strong"/>
                <w:szCs w:val="20"/>
              </w:rPr>
              <w:t xml:space="preserve">that </w:t>
            </w:r>
            <w:r w:rsidR="003F080C" w:rsidRPr="5CE52BA8">
              <w:rPr>
                <w:rStyle w:val="Strong"/>
                <w:szCs w:val="20"/>
              </w:rPr>
              <w:t>will be conducted with</w:t>
            </w:r>
            <w:r w:rsidR="00FB3662" w:rsidRPr="5CE52BA8">
              <w:rPr>
                <w:rStyle w:val="Strong"/>
                <w:szCs w:val="20"/>
              </w:rPr>
              <w:t xml:space="preserve"> </w:t>
            </w:r>
            <w:r w:rsidR="003F080C" w:rsidRPr="5CE52BA8">
              <w:rPr>
                <w:rStyle w:val="Strong"/>
                <w:szCs w:val="20"/>
                <w:u w:val="single"/>
              </w:rPr>
              <w:t>individuals</w:t>
            </w:r>
            <w:r w:rsidR="0061013E" w:rsidRPr="5CE52BA8">
              <w:rPr>
                <w:rStyle w:val="Strong"/>
                <w:szCs w:val="20"/>
              </w:rPr>
              <w:t xml:space="preserve"> who reside in international settings, research </w:t>
            </w:r>
            <w:r w:rsidR="0061013E" w:rsidRPr="5CE52BA8">
              <w:rPr>
                <w:rStyle w:val="Strong"/>
                <w:szCs w:val="20"/>
                <w:u w:val="single"/>
              </w:rPr>
              <w:t>data</w:t>
            </w:r>
            <w:r w:rsidR="0061013E" w:rsidRPr="5CE52BA8">
              <w:rPr>
                <w:rStyle w:val="Strong"/>
                <w:szCs w:val="20"/>
              </w:rPr>
              <w:t xml:space="preserve"> </w:t>
            </w:r>
            <w:r w:rsidR="003F080C" w:rsidRPr="5CE52BA8">
              <w:rPr>
                <w:rStyle w:val="Strong"/>
                <w:szCs w:val="20"/>
              </w:rPr>
              <w:t xml:space="preserve">that will be </w:t>
            </w:r>
            <w:r w:rsidR="0061013E" w:rsidRPr="5CE52BA8">
              <w:rPr>
                <w:rStyle w:val="Strong"/>
                <w:szCs w:val="20"/>
              </w:rPr>
              <w:t xml:space="preserve">collected in </w:t>
            </w:r>
            <w:r w:rsidR="00FB3662" w:rsidRPr="5CE52BA8">
              <w:rPr>
                <w:rStyle w:val="Strong"/>
                <w:szCs w:val="20"/>
              </w:rPr>
              <w:t xml:space="preserve">international </w:t>
            </w:r>
            <w:r w:rsidR="0061013E" w:rsidRPr="5CE52BA8">
              <w:rPr>
                <w:rStyle w:val="Strong"/>
                <w:szCs w:val="20"/>
              </w:rPr>
              <w:t>settings</w:t>
            </w:r>
            <w:r w:rsidR="00AC560B" w:rsidRPr="5CE52BA8">
              <w:rPr>
                <w:rStyle w:val="Strong"/>
                <w:szCs w:val="20"/>
              </w:rPr>
              <w:t>,</w:t>
            </w:r>
            <w:r w:rsidR="003F080C" w:rsidRPr="5CE52BA8">
              <w:rPr>
                <w:rStyle w:val="Strong"/>
                <w:szCs w:val="20"/>
              </w:rPr>
              <w:t xml:space="preserve"> </w:t>
            </w:r>
            <w:r w:rsidR="00AC560B" w:rsidRPr="5CE52BA8">
              <w:rPr>
                <w:rStyle w:val="Strong"/>
                <w:szCs w:val="20"/>
              </w:rPr>
              <w:t xml:space="preserve">and/or research will be conducted at </w:t>
            </w:r>
            <w:r w:rsidR="00AC560B" w:rsidRPr="5CE52BA8">
              <w:rPr>
                <w:rStyle w:val="Strong"/>
                <w:szCs w:val="20"/>
                <w:u w:val="single"/>
              </w:rPr>
              <w:t>sites</w:t>
            </w:r>
            <w:r w:rsidR="00AC560B" w:rsidRPr="5CE52BA8">
              <w:rPr>
                <w:rStyle w:val="Strong"/>
                <w:szCs w:val="20"/>
              </w:rPr>
              <w:t xml:space="preserve"> located</w:t>
            </w:r>
            <w:r w:rsidR="003F080C" w:rsidRPr="5CE52BA8">
              <w:rPr>
                <w:rStyle w:val="Strong"/>
                <w:szCs w:val="20"/>
              </w:rPr>
              <w:t xml:space="preserve"> international</w:t>
            </w:r>
            <w:r w:rsidR="00AC560B" w:rsidRPr="5CE52BA8">
              <w:rPr>
                <w:rStyle w:val="Strong"/>
                <w:szCs w:val="20"/>
              </w:rPr>
              <w:t>ly.</w:t>
            </w:r>
          </w:p>
        </w:tc>
      </w:tr>
      <w:tr w:rsidR="001B0B19" w14:paraId="17D48A22" w14:textId="77777777" w:rsidTr="13E5E14C">
        <w:trPr>
          <w:trHeight w:val="47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123158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73FE9" w14:textId="4AB6E430" w:rsidR="723EDA21" w:rsidRPr="00541161" w:rsidRDefault="001B0B19" w:rsidP="00541161">
                <w:pPr>
                  <w:pStyle w:val="ChecklistLevel1"/>
                  <w:numPr>
                    <w:ilvl w:val="0"/>
                    <w:numId w:val="0"/>
                  </w:numPr>
                  <w:rPr>
                    <w:rFonts w:ascii="MS Gothic" w:eastAsia="MS Gothic" w:hAnsi="MS Gothic"/>
                    <w:b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BB74B3E" w14:textId="77777777" w:rsidR="5CE52BA8" w:rsidRDefault="5CE52BA8"/>
        </w:tc>
        <w:tc>
          <w:tcPr>
            <w:tcW w:w="3330" w:type="dxa"/>
            <w:vAlign w:val="center"/>
          </w:tcPr>
          <w:p w14:paraId="4D3A4410" w14:textId="7D6502B9" w:rsidR="001B0B19" w:rsidRPr="001B0B19" w:rsidRDefault="001B0B19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rStyle w:val="Strong"/>
                <w:b/>
                <w:szCs w:val="20"/>
                <w:u w:val="single"/>
              </w:rPr>
            </w:pPr>
            <w:r w:rsidRPr="5CE52BA8">
              <w:rPr>
                <w:rStyle w:val="Strong"/>
                <w:b/>
                <w:szCs w:val="20"/>
                <w:u w:val="single"/>
              </w:rPr>
              <w:t>Non-Rutgers Investigators</w:t>
            </w:r>
            <w:r w:rsidR="38E19837" w:rsidRPr="5CE52BA8">
              <w:rPr>
                <w:rStyle w:val="Strong"/>
                <w:b/>
                <w:szCs w:val="20"/>
                <w:u w:val="single"/>
              </w:rPr>
              <w:t xml:space="preserve"> </w:t>
            </w:r>
            <w:r w:rsidRPr="5CE52BA8">
              <w:rPr>
                <w:rStyle w:val="Strong"/>
                <w:b/>
                <w:szCs w:val="20"/>
                <w:u w:val="single"/>
              </w:rPr>
              <w:t>/</w:t>
            </w:r>
            <w:r w:rsidR="3E5EEC6D" w:rsidRPr="5CE52BA8">
              <w:rPr>
                <w:rStyle w:val="Strong"/>
                <w:b/>
                <w:szCs w:val="20"/>
                <w:u w:val="single"/>
              </w:rPr>
              <w:t xml:space="preserve"> </w:t>
            </w:r>
            <w:r w:rsidRPr="5CE52BA8">
              <w:rPr>
                <w:rStyle w:val="Strong"/>
                <w:b/>
                <w:szCs w:val="20"/>
                <w:u w:val="single"/>
              </w:rPr>
              <w:t>Institutions</w:t>
            </w:r>
          </w:p>
        </w:tc>
        <w:tc>
          <w:tcPr>
            <w:tcW w:w="7020" w:type="dxa"/>
            <w:vAlign w:val="center"/>
          </w:tcPr>
          <w:p w14:paraId="4F51FFF0" w14:textId="2CE17C57" w:rsidR="001B0B19" w:rsidRPr="00BF3C81" w:rsidRDefault="436B1D08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rStyle w:val="Strong"/>
                <w:szCs w:val="20"/>
              </w:rPr>
            </w:pPr>
            <w:r w:rsidRPr="5CE52BA8">
              <w:rPr>
                <w:rStyle w:val="Strong"/>
                <w:szCs w:val="20"/>
              </w:rPr>
              <w:t xml:space="preserve">For </w:t>
            </w:r>
            <w:r w:rsidR="009B510C" w:rsidRPr="5CE52BA8">
              <w:rPr>
                <w:rStyle w:val="Strong"/>
                <w:szCs w:val="20"/>
              </w:rPr>
              <w:t>research engaging non-Rutgers Investigator</w:t>
            </w:r>
            <w:r w:rsidR="00E16EAF" w:rsidRPr="5CE52BA8">
              <w:rPr>
                <w:rStyle w:val="Strong"/>
                <w:szCs w:val="20"/>
              </w:rPr>
              <w:t>(</w:t>
            </w:r>
            <w:r w:rsidR="009B510C" w:rsidRPr="5CE52BA8">
              <w:rPr>
                <w:rStyle w:val="Strong"/>
                <w:szCs w:val="20"/>
              </w:rPr>
              <w:t>s</w:t>
            </w:r>
            <w:r w:rsidR="00E16EAF" w:rsidRPr="5CE52BA8">
              <w:rPr>
                <w:rStyle w:val="Strong"/>
                <w:szCs w:val="20"/>
              </w:rPr>
              <w:t>)</w:t>
            </w:r>
            <w:r w:rsidR="009B510C" w:rsidRPr="5CE52BA8">
              <w:rPr>
                <w:rStyle w:val="Strong"/>
                <w:szCs w:val="20"/>
              </w:rPr>
              <w:t xml:space="preserve"> and/or Non-Rutgers Institution</w:t>
            </w:r>
            <w:r w:rsidR="00E16EAF" w:rsidRPr="5CE52BA8">
              <w:rPr>
                <w:rStyle w:val="Strong"/>
                <w:szCs w:val="20"/>
              </w:rPr>
              <w:t>(</w:t>
            </w:r>
            <w:r w:rsidR="009B510C" w:rsidRPr="5CE52BA8">
              <w:rPr>
                <w:rStyle w:val="Strong"/>
                <w:szCs w:val="20"/>
              </w:rPr>
              <w:t>s</w:t>
            </w:r>
            <w:r w:rsidR="00E16EAF" w:rsidRPr="5CE52BA8">
              <w:rPr>
                <w:rStyle w:val="Strong"/>
                <w:szCs w:val="20"/>
              </w:rPr>
              <w:t>)</w:t>
            </w:r>
            <w:r w:rsidR="009B510C" w:rsidRPr="5CE52BA8">
              <w:rPr>
                <w:rStyle w:val="Strong"/>
                <w:szCs w:val="20"/>
              </w:rPr>
              <w:t>.</w:t>
            </w:r>
          </w:p>
        </w:tc>
      </w:tr>
      <w:tr w:rsidR="001B0B19" w14:paraId="7FBC1F4B" w14:textId="77777777" w:rsidTr="13E5E14C">
        <w:trPr>
          <w:trHeight w:val="47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1058363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DD5B5" w14:textId="655CCFEA" w:rsidR="723EDA21" w:rsidRPr="00541161" w:rsidRDefault="001B0B19" w:rsidP="00541161">
                <w:pPr>
                  <w:pStyle w:val="ChecklistLevel1"/>
                  <w:numPr>
                    <w:ilvl w:val="0"/>
                    <w:numId w:val="0"/>
                  </w:numPr>
                  <w:rPr>
                    <w:rFonts w:ascii="MS Gothic" w:eastAsia="MS Gothic" w:hAnsi="MS Gothic"/>
                    <w:b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AF29DEA" w14:textId="77777777" w:rsidR="5CE52BA8" w:rsidRDefault="5CE52BA8"/>
        </w:tc>
        <w:tc>
          <w:tcPr>
            <w:tcW w:w="3330" w:type="dxa"/>
            <w:vAlign w:val="center"/>
          </w:tcPr>
          <w:p w14:paraId="03D99CE4" w14:textId="25579989" w:rsidR="001B0B19" w:rsidRPr="001B0B19" w:rsidRDefault="001B0B19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rStyle w:val="Strong"/>
                <w:b/>
                <w:szCs w:val="20"/>
                <w:u w:val="single"/>
              </w:rPr>
            </w:pPr>
            <w:r w:rsidRPr="5CE52BA8">
              <w:rPr>
                <w:rStyle w:val="Strong"/>
                <w:b/>
                <w:szCs w:val="20"/>
                <w:u w:val="single"/>
              </w:rPr>
              <w:t>Student Research</w:t>
            </w:r>
          </w:p>
        </w:tc>
        <w:tc>
          <w:tcPr>
            <w:tcW w:w="7020" w:type="dxa"/>
            <w:vAlign w:val="center"/>
          </w:tcPr>
          <w:p w14:paraId="4E647A7E" w14:textId="303B1F06" w:rsidR="001B0B19" w:rsidRPr="00BF3C81" w:rsidRDefault="55025DCE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rStyle w:val="Strong"/>
                <w:szCs w:val="20"/>
              </w:rPr>
            </w:pPr>
            <w:r w:rsidRPr="5CE52BA8">
              <w:rPr>
                <w:rStyle w:val="Strong"/>
                <w:szCs w:val="20"/>
              </w:rPr>
              <w:t xml:space="preserve">For </w:t>
            </w:r>
            <w:r w:rsidR="009B510C" w:rsidRPr="5CE52BA8">
              <w:rPr>
                <w:rStyle w:val="Strong"/>
                <w:szCs w:val="20"/>
              </w:rPr>
              <w:t>research</w:t>
            </w:r>
            <w:r w:rsidRPr="5CE52BA8">
              <w:rPr>
                <w:rStyle w:val="Strong"/>
                <w:szCs w:val="20"/>
              </w:rPr>
              <w:t xml:space="preserve"> involving</w:t>
            </w:r>
            <w:r w:rsidR="005A4BC4" w:rsidRPr="5CE52BA8">
              <w:rPr>
                <w:rStyle w:val="Strong"/>
                <w:szCs w:val="20"/>
              </w:rPr>
              <w:t xml:space="preserve"> students as PI or as lead </w:t>
            </w:r>
            <w:r w:rsidR="00E16EAF" w:rsidRPr="5CE52BA8">
              <w:rPr>
                <w:rStyle w:val="Strong"/>
                <w:szCs w:val="20"/>
              </w:rPr>
              <w:t>Investigator</w:t>
            </w:r>
            <w:r w:rsidR="005A4BC4" w:rsidRPr="5CE52BA8">
              <w:rPr>
                <w:rStyle w:val="Strong"/>
                <w:szCs w:val="20"/>
              </w:rPr>
              <w:t xml:space="preserve"> with a Faculty Advisor serving as the PI.</w:t>
            </w:r>
          </w:p>
        </w:tc>
      </w:tr>
      <w:tr w:rsidR="001B0B19" w14:paraId="2A4CEC9B" w14:textId="77777777" w:rsidTr="13E5E14C">
        <w:trPr>
          <w:trHeight w:val="341"/>
        </w:trPr>
        <w:tc>
          <w:tcPr>
            <w:tcW w:w="10795" w:type="dxa"/>
            <w:gridSpan w:val="3"/>
            <w:shd w:val="clear" w:color="auto" w:fill="D9D9D9" w:themeFill="background1" w:themeFillShade="D9"/>
            <w:vAlign w:val="center"/>
          </w:tcPr>
          <w:p w14:paraId="64C6663C" w14:textId="1976F503" w:rsidR="001B0B19" w:rsidRPr="00353E1E" w:rsidRDefault="001B0B19" w:rsidP="001B0B19">
            <w:pPr>
              <w:pStyle w:val="ChecklistLevel1"/>
              <w:numPr>
                <w:ilvl w:val="0"/>
                <w:numId w:val="42"/>
              </w:numPr>
              <w:ind w:left="338"/>
              <w:contextualSpacing/>
            </w:pPr>
            <w:r w:rsidRPr="00353E1E">
              <w:rPr>
                <w:szCs w:val="20"/>
              </w:rPr>
              <w:t xml:space="preserve">Required </w:t>
            </w:r>
            <w:proofErr w:type="gramStart"/>
            <w:r w:rsidRPr="00353E1E">
              <w:rPr>
                <w:szCs w:val="20"/>
              </w:rPr>
              <w:t>At</w:t>
            </w:r>
            <w:proofErr w:type="gramEnd"/>
            <w:r w:rsidRPr="00353E1E">
              <w:rPr>
                <w:szCs w:val="20"/>
              </w:rPr>
              <w:t xml:space="preserve"> the Discretion of the Reviewer</w:t>
            </w:r>
          </w:p>
        </w:tc>
      </w:tr>
      <w:tr w:rsidR="001B0B19" w14:paraId="44208F35" w14:textId="77777777" w:rsidTr="13E5E14C">
        <w:trPr>
          <w:trHeight w:val="94"/>
        </w:trPr>
        <w:tc>
          <w:tcPr>
            <w:tcW w:w="445" w:type="dxa"/>
            <w:vMerge w:val="restart"/>
          </w:tcPr>
          <w:sdt>
            <w:sdtPr>
              <w:rPr>
                <w:rFonts w:ascii="MS Gothic" w:eastAsia="MS Gothic" w:hAnsi="MS Gothic"/>
                <w:sz w:val="22"/>
                <w:szCs w:val="22"/>
              </w:rPr>
              <w:id w:val="-1188062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22DF9" w14:textId="2A559AB8" w:rsidR="001B0B19" w:rsidRDefault="00CB1F1F" w:rsidP="001B0B19">
                <w:pPr>
                  <w:pStyle w:val="ChecklistLevel1"/>
                  <w:numPr>
                    <w:ilvl w:val="0"/>
                    <w:numId w:val="0"/>
                  </w:numPr>
                  <w:jc w:val="center"/>
                  <w:rPr>
                    <w:rFonts w:ascii="MS Gothic" w:eastAsia="MS Gothic" w:hAnsi="MS Gothic"/>
                    <w:b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92732A4" w14:textId="77777777" w:rsidR="001B0B19" w:rsidRDefault="001B0B19" w:rsidP="001B0B19">
            <w:pPr>
              <w:pStyle w:val="ChecklistLevel1"/>
              <w:numPr>
                <w:ilvl w:val="0"/>
                <w:numId w:val="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350" w:type="dxa"/>
            <w:gridSpan w:val="2"/>
            <w:vAlign w:val="center"/>
          </w:tcPr>
          <w:p w14:paraId="4FCE9B17" w14:textId="6552BDF2" w:rsidR="001B0B19" w:rsidRDefault="001B0B19" w:rsidP="001B0B19">
            <w:pPr>
              <w:pStyle w:val="ChecklistLevel1"/>
              <w:numPr>
                <w:ilvl w:val="0"/>
                <w:numId w:val="0"/>
              </w:numPr>
              <w:contextualSpacing/>
            </w:pPr>
            <w:r w:rsidRPr="723EDA21">
              <w:rPr>
                <w:u w:val="single"/>
              </w:rPr>
              <w:t>Other</w:t>
            </w:r>
            <w:r w:rsidR="4A792E8A">
              <w:rPr>
                <w:b w:val="0"/>
              </w:rPr>
              <w:t xml:space="preserve"> </w:t>
            </w:r>
            <w:r w:rsidR="00F01402">
              <w:rPr>
                <w:b w:val="0"/>
              </w:rPr>
              <w:t xml:space="preserve">possible </w:t>
            </w:r>
            <w:r w:rsidR="00C12231" w:rsidRPr="00C12231">
              <w:rPr>
                <w:b w:val="0"/>
              </w:rPr>
              <w:t>justification</w:t>
            </w:r>
            <w:r w:rsidR="00C12231">
              <w:rPr>
                <w:b w:val="0"/>
              </w:rPr>
              <w:t>s</w:t>
            </w:r>
            <w:r w:rsidR="00F01402">
              <w:rPr>
                <w:b w:val="0"/>
              </w:rPr>
              <w:t xml:space="preserve"> for requiring a Continuing Review</w:t>
            </w:r>
            <w:r w:rsidR="00C12231">
              <w:rPr>
                <w:b w:val="0"/>
              </w:rPr>
              <w:t xml:space="preserve"> (must be documented in </w:t>
            </w:r>
            <w:proofErr w:type="spellStart"/>
            <w:r w:rsidR="00C12231">
              <w:rPr>
                <w:b w:val="0"/>
              </w:rPr>
              <w:t>eIRB</w:t>
            </w:r>
            <w:proofErr w:type="spellEnd"/>
            <w:r w:rsidR="00C12231">
              <w:rPr>
                <w:b w:val="0"/>
              </w:rPr>
              <w:t>)</w:t>
            </w:r>
            <w:r w:rsidR="00CB1F1F">
              <w:rPr>
                <w:b w:val="0"/>
              </w:rPr>
              <w:t>:</w:t>
            </w:r>
          </w:p>
        </w:tc>
      </w:tr>
      <w:tr w:rsidR="00097141" w14:paraId="4F968943" w14:textId="77777777" w:rsidTr="13E5E14C">
        <w:trPr>
          <w:trHeight w:val="395"/>
        </w:trPr>
        <w:tc>
          <w:tcPr>
            <w:tcW w:w="445" w:type="dxa"/>
            <w:vMerge/>
            <w:vAlign w:val="center"/>
          </w:tcPr>
          <w:p w14:paraId="56933322" w14:textId="2C9A2588" w:rsidR="00097141" w:rsidRPr="00DA6B21" w:rsidRDefault="00097141" w:rsidP="001B0B19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5CCDD3C2" w14:textId="1528FE11" w:rsidR="00097141" w:rsidRPr="00FA65A6" w:rsidRDefault="00097141" w:rsidP="5CE52BA8">
            <w:pPr>
              <w:pStyle w:val="ChecklistLevel1"/>
              <w:numPr>
                <w:ilvl w:val="0"/>
                <w:numId w:val="0"/>
              </w:numPr>
              <w:ind w:left="698"/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>Vulnerable Populations</w:t>
            </w:r>
          </w:p>
        </w:tc>
        <w:tc>
          <w:tcPr>
            <w:tcW w:w="7020" w:type="dxa"/>
            <w:vAlign w:val="center"/>
          </w:tcPr>
          <w:p w14:paraId="681D857A" w14:textId="32524EC5" w:rsidR="00097141" w:rsidRPr="00B83F5D" w:rsidRDefault="00097141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 xml:space="preserve">“This study involves </w:t>
            </w:r>
            <w:r w:rsidRPr="5CE52BA8">
              <w:rPr>
                <w:b w:val="0"/>
                <w:szCs w:val="20"/>
                <w:u w:val="single"/>
              </w:rPr>
              <w:t>particularly Vulnerable Populations</w:t>
            </w:r>
            <w:r w:rsidRPr="5CE52BA8">
              <w:rPr>
                <w:b w:val="0"/>
                <w:szCs w:val="20"/>
              </w:rPr>
              <w:t xml:space="preserve"> which requires closer monitoring through the Continuing Review Process”. (</w:t>
            </w:r>
            <w:r w:rsidRPr="5CE52BA8">
              <w:rPr>
                <w:szCs w:val="20"/>
              </w:rPr>
              <w:t>Note</w:t>
            </w:r>
            <w:r w:rsidRPr="5CE52BA8">
              <w:rPr>
                <w:b w:val="0"/>
                <w:szCs w:val="20"/>
              </w:rPr>
              <w:t>: The inclusion of a vulnerable population in the research does not automatically require a CR submission).</w:t>
            </w:r>
          </w:p>
        </w:tc>
      </w:tr>
      <w:tr w:rsidR="001B0B19" w14:paraId="3253E9AA" w14:textId="77777777" w:rsidTr="13E5E14C">
        <w:trPr>
          <w:trHeight w:val="47"/>
        </w:trPr>
        <w:tc>
          <w:tcPr>
            <w:tcW w:w="445" w:type="dxa"/>
            <w:vMerge/>
            <w:vAlign w:val="center"/>
          </w:tcPr>
          <w:p w14:paraId="334E1CC9" w14:textId="63C12412" w:rsidR="001B0B19" w:rsidRPr="00DA6B21" w:rsidRDefault="001B0B19" w:rsidP="001B0B19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="MS Gothic" w:eastAsia="MS Gothic" w:hAnsi="MS Gothic"/>
                <w:b w:val="0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56B31460" w14:textId="26721A8F" w:rsidR="001B0B19" w:rsidRPr="00FA65A6" w:rsidRDefault="001B0B19" w:rsidP="5CE52BA8">
            <w:pPr>
              <w:pStyle w:val="ChecklistLevel1"/>
              <w:numPr>
                <w:ilvl w:val="0"/>
                <w:numId w:val="0"/>
              </w:numPr>
              <w:ind w:left="698"/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>Additional Oversight</w:t>
            </w:r>
          </w:p>
        </w:tc>
        <w:tc>
          <w:tcPr>
            <w:tcW w:w="7020" w:type="dxa"/>
            <w:vAlign w:val="center"/>
          </w:tcPr>
          <w:p w14:paraId="2F217A0C" w14:textId="6235970A" w:rsidR="001B0B19" w:rsidRPr="00B83F5D" w:rsidRDefault="001B0B19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>“</w:t>
            </w:r>
            <w:r w:rsidR="00256FF0" w:rsidRPr="5CE52BA8">
              <w:rPr>
                <w:b w:val="0"/>
                <w:szCs w:val="20"/>
              </w:rPr>
              <w:t>Research</w:t>
            </w:r>
            <w:r w:rsidRPr="5CE52BA8">
              <w:rPr>
                <w:b w:val="0"/>
                <w:szCs w:val="20"/>
              </w:rPr>
              <w:t xml:space="preserve"> </w:t>
            </w:r>
            <w:r w:rsidR="00256FF0" w:rsidRPr="5CE52BA8">
              <w:rPr>
                <w:b w:val="0"/>
                <w:szCs w:val="20"/>
              </w:rPr>
              <w:t>involves</w:t>
            </w:r>
            <w:r w:rsidRPr="5CE52BA8">
              <w:rPr>
                <w:b w:val="0"/>
                <w:szCs w:val="20"/>
              </w:rPr>
              <w:t xml:space="preserve"> additional oversight</w:t>
            </w:r>
            <w:r w:rsidR="00256FF0" w:rsidRPr="5CE52BA8">
              <w:rPr>
                <w:b w:val="0"/>
                <w:szCs w:val="20"/>
              </w:rPr>
              <w:t>, such as a Conflict of Interest (COI) Management Plan.”</w:t>
            </w:r>
          </w:p>
        </w:tc>
      </w:tr>
      <w:tr w:rsidR="001B0B19" w14:paraId="4DA2DBEA" w14:textId="77777777" w:rsidTr="13E5E14C">
        <w:trPr>
          <w:trHeight w:val="47"/>
        </w:trPr>
        <w:tc>
          <w:tcPr>
            <w:tcW w:w="445" w:type="dxa"/>
            <w:vMerge/>
            <w:vAlign w:val="center"/>
          </w:tcPr>
          <w:p w14:paraId="61BB3FE6" w14:textId="1CA5739F" w:rsidR="001B0B19" w:rsidRPr="00DA6B21" w:rsidRDefault="001B0B19" w:rsidP="001B0B19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="MS Gothic" w:eastAsia="MS Gothic" w:hAnsi="MS Gothic"/>
                <w:b w:val="0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78F3C1C" w14:textId="5E535EAD" w:rsidR="001B0B19" w:rsidRPr="00FA65A6" w:rsidRDefault="001B0B19" w:rsidP="5CE52BA8">
            <w:pPr>
              <w:pStyle w:val="ChecklistLevel1"/>
              <w:numPr>
                <w:ilvl w:val="0"/>
                <w:numId w:val="0"/>
              </w:numPr>
              <w:ind w:left="698"/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>Revealing New Findings</w:t>
            </w:r>
          </w:p>
        </w:tc>
        <w:tc>
          <w:tcPr>
            <w:tcW w:w="7020" w:type="dxa"/>
            <w:vAlign w:val="center"/>
          </w:tcPr>
          <w:p w14:paraId="7D01EB0A" w14:textId="4E300070" w:rsidR="001B0B19" w:rsidRPr="003D73E7" w:rsidRDefault="001B0B19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>“</w:t>
            </w:r>
            <w:r w:rsidR="0027796E" w:rsidRPr="5CE52BA8">
              <w:rPr>
                <w:b w:val="0"/>
                <w:szCs w:val="20"/>
              </w:rPr>
              <w:t xml:space="preserve">A research </w:t>
            </w:r>
            <w:r w:rsidR="003D73E7" w:rsidRPr="5CE52BA8">
              <w:rPr>
                <w:b w:val="0"/>
                <w:szCs w:val="20"/>
              </w:rPr>
              <w:t>modification</w:t>
            </w:r>
            <w:r w:rsidR="0027796E" w:rsidRPr="5CE52BA8">
              <w:rPr>
                <w:b w:val="0"/>
                <w:szCs w:val="20"/>
              </w:rPr>
              <w:t xml:space="preserve"> or </w:t>
            </w:r>
            <w:r w:rsidR="003D73E7" w:rsidRPr="5CE52BA8">
              <w:rPr>
                <w:b w:val="0"/>
                <w:szCs w:val="20"/>
              </w:rPr>
              <w:t>reportable event</w:t>
            </w:r>
            <w:r w:rsidR="0027796E" w:rsidRPr="5CE52BA8">
              <w:rPr>
                <w:b w:val="0"/>
                <w:szCs w:val="20"/>
              </w:rPr>
              <w:t xml:space="preserve"> reveal</w:t>
            </w:r>
            <w:r w:rsidR="003D73E7" w:rsidRPr="5CE52BA8">
              <w:rPr>
                <w:b w:val="0"/>
                <w:szCs w:val="20"/>
              </w:rPr>
              <w:t>s</w:t>
            </w:r>
            <w:r w:rsidR="0027796E" w:rsidRPr="5CE52BA8">
              <w:rPr>
                <w:b w:val="0"/>
                <w:szCs w:val="20"/>
              </w:rPr>
              <w:t xml:space="preserve"> new findings that require additional oversight</w:t>
            </w:r>
            <w:r w:rsidRPr="5CE52BA8">
              <w:rPr>
                <w:b w:val="0"/>
                <w:szCs w:val="20"/>
              </w:rPr>
              <w:t xml:space="preserve">”. </w:t>
            </w:r>
          </w:p>
        </w:tc>
      </w:tr>
      <w:tr w:rsidR="001B0B19" w14:paraId="49EED5B2" w14:textId="77777777" w:rsidTr="13E5E14C">
        <w:trPr>
          <w:trHeight w:val="47"/>
        </w:trPr>
        <w:tc>
          <w:tcPr>
            <w:tcW w:w="445" w:type="dxa"/>
            <w:vMerge/>
            <w:vAlign w:val="center"/>
          </w:tcPr>
          <w:p w14:paraId="5D3945C2" w14:textId="43CC5A68" w:rsidR="001B0B19" w:rsidRPr="00DA6B21" w:rsidRDefault="001B0B19" w:rsidP="001B0B19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="MS Gothic" w:eastAsia="MS Gothic" w:hAnsi="MS Gothic"/>
                <w:b w:val="0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9360B8C" w14:textId="7B37961C" w:rsidR="001B0B19" w:rsidRPr="00FA65A6" w:rsidRDefault="001B0B19" w:rsidP="5CE52BA8">
            <w:pPr>
              <w:pStyle w:val="ChecklistLevel1"/>
              <w:numPr>
                <w:ilvl w:val="0"/>
                <w:numId w:val="0"/>
              </w:numPr>
              <w:ind w:left="698"/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>Previous Non-Compliance</w:t>
            </w:r>
          </w:p>
        </w:tc>
        <w:tc>
          <w:tcPr>
            <w:tcW w:w="7020" w:type="dxa"/>
            <w:vAlign w:val="center"/>
          </w:tcPr>
          <w:p w14:paraId="29660587" w14:textId="7F66F4D6" w:rsidR="001B0B19" w:rsidRPr="0063291B" w:rsidRDefault="1C1AAEEC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>“</w:t>
            </w:r>
            <w:r w:rsidR="0063291B" w:rsidRPr="5CE52BA8">
              <w:rPr>
                <w:b w:val="0"/>
                <w:szCs w:val="20"/>
              </w:rPr>
              <w:t xml:space="preserve">Investigator has had previous serious non-compliance or a pattern of non-serious non-compliance </w:t>
            </w:r>
            <w:r w:rsidR="001B0B19" w:rsidRPr="5CE52BA8">
              <w:rPr>
                <w:b w:val="0"/>
                <w:szCs w:val="20"/>
              </w:rPr>
              <w:t>which requires closer monitoring</w:t>
            </w:r>
            <w:r w:rsidR="7F84D6B4" w:rsidRPr="5CE52BA8">
              <w:rPr>
                <w:b w:val="0"/>
                <w:szCs w:val="20"/>
              </w:rPr>
              <w:t>”</w:t>
            </w:r>
            <w:r w:rsidR="001B0B19" w:rsidRPr="5CE52BA8">
              <w:rPr>
                <w:b w:val="0"/>
                <w:szCs w:val="20"/>
              </w:rPr>
              <w:t>.</w:t>
            </w:r>
          </w:p>
        </w:tc>
      </w:tr>
      <w:tr w:rsidR="001B0B19" w14:paraId="1EED3F39" w14:textId="77777777" w:rsidTr="13E5E14C">
        <w:trPr>
          <w:trHeight w:val="47"/>
        </w:trPr>
        <w:tc>
          <w:tcPr>
            <w:tcW w:w="445" w:type="dxa"/>
            <w:vMerge/>
            <w:vAlign w:val="center"/>
          </w:tcPr>
          <w:p w14:paraId="05948D1A" w14:textId="18865EF0" w:rsidR="001B0B19" w:rsidRPr="00DA6B21" w:rsidRDefault="001B0B19" w:rsidP="001B0B19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="MS Gothic" w:eastAsia="MS Gothic" w:hAnsi="MS Gothic"/>
                <w:b w:val="0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2EF5D8BE" w14:textId="690AAC52" w:rsidR="001B0B19" w:rsidRPr="00FA65A6" w:rsidRDefault="0063291B" w:rsidP="5CE52BA8">
            <w:pPr>
              <w:pStyle w:val="ChecklistLevel1"/>
              <w:numPr>
                <w:ilvl w:val="0"/>
                <w:numId w:val="0"/>
              </w:numPr>
              <w:ind w:left="698"/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>Other Justification</w:t>
            </w:r>
          </w:p>
        </w:tc>
        <w:tc>
          <w:tcPr>
            <w:tcW w:w="7020" w:type="dxa"/>
          </w:tcPr>
          <w:p w14:paraId="2888B0A4" w14:textId="73B9768B" w:rsidR="001B0B19" w:rsidRPr="00B83F5D" w:rsidRDefault="001B0B19" w:rsidP="5CE52BA8">
            <w:pPr>
              <w:pStyle w:val="ChecklistLevel1"/>
              <w:numPr>
                <w:ilvl w:val="0"/>
                <w:numId w:val="0"/>
              </w:numPr>
              <w:contextualSpacing/>
              <w:rPr>
                <w:b w:val="0"/>
                <w:szCs w:val="20"/>
              </w:rPr>
            </w:pPr>
            <w:r w:rsidRPr="5CE52BA8">
              <w:rPr>
                <w:b w:val="0"/>
                <w:szCs w:val="20"/>
              </w:rPr>
              <w:t xml:space="preserve">“This study requires closer monitoring through the Continuing Review Process because </w:t>
            </w:r>
            <w:r w:rsidR="1AAE7D6A" w:rsidRPr="5CE52BA8">
              <w:rPr>
                <w:szCs w:val="20"/>
                <w:u w:val="single"/>
              </w:rPr>
              <w:t xml:space="preserve">[Provide </w:t>
            </w:r>
            <w:r w:rsidR="00C865E5" w:rsidRPr="5CE52BA8">
              <w:rPr>
                <w:szCs w:val="20"/>
                <w:u w:val="single"/>
              </w:rPr>
              <w:t>Justification</w:t>
            </w:r>
            <w:r w:rsidR="1AAE7D6A" w:rsidRPr="5CE52BA8">
              <w:rPr>
                <w:szCs w:val="20"/>
              </w:rPr>
              <w:t>]</w:t>
            </w:r>
            <w:r w:rsidRPr="5CE52BA8">
              <w:rPr>
                <w:b w:val="0"/>
                <w:szCs w:val="20"/>
              </w:rPr>
              <w:t>”.</w:t>
            </w:r>
          </w:p>
        </w:tc>
      </w:tr>
    </w:tbl>
    <w:p w14:paraId="0DB2BE09" w14:textId="77777777" w:rsidR="0066088B" w:rsidRDefault="0066088B" w:rsidP="0066088B">
      <w:pPr>
        <w:pStyle w:val="FootnoteText"/>
      </w:pPr>
    </w:p>
    <w:p w14:paraId="40E6306F" w14:textId="041CAE67" w:rsidR="0066088B" w:rsidRPr="002F575C" w:rsidRDefault="0066088B" w:rsidP="0066088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The Revised Common Rule changed the requirements </w:t>
      </w:r>
      <w:r w:rsidRPr="625B86DD">
        <w:t>when</w:t>
      </w:r>
      <w:r>
        <w:t xml:space="preserve"> submission of Continuing Review of research is required (45 CFR 46.109(f)). These changes do </w:t>
      </w:r>
      <w:r w:rsidRPr="5CE52BA8">
        <w:rPr>
          <w:b/>
          <w:bCs/>
          <w:u w:val="single"/>
        </w:rPr>
        <w:t>not</w:t>
      </w:r>
      <w:r>
        <w:t xml:space="preserve"> apply to: (a) federally-funded studies approved prior to the implementation date of January 21, 2019 and have not transitioned to the Revised Common Rule; (b) studies regulated by the Food and Drug Administration (FDA); or (c) any research sponsored by a Federal Department that has not signed on to the Revised Common Rule, such as the US Department of Justice (DOJ), Environmental Protection Agency, etc. </w:t>
      </w:r>
    </w:p>
    <w:p w14:paraId="06250C04" w14:textId="24DAC9EA" w:rsidR="003D722B" w:rsidRPr="005416CE" w:rsidRDefault="003D722B" w:rsidP="00A05445">
      <w:pPr>
        <w:rPr>
          <w:sz w:val="22"/>
          <w:szCs w:val="22"/>
        </w:rPr>
      </w:pPr>
    </w:p>
    <w:sectPr w:rsidR="003D722B" w:rsidRPr="005416CE" w:rsidSect="003B48E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9979" w14:textId="77777777" w:rsidR="009335C4" w:rsidRDefault="009335C4">
      <w:r>
        <w:separator/>
      </w:r>
    </w:p>
  </w:endnote>
  <w:endnote w:type="continuationSeparator" w:id="0">
    <w:p w14:paraId="1B585FF1" w14:textId="77777777" w:rsidR="009335C4" w:rsidRDefault="009335C4">
      <w:r>
        <w:continuationSeparator/>
      </w:r>
    </w:p>
  </w:endnote>
  <w:endnote w:type="continuationNotice" w:id="1">
    <w:p w14:paraId="55F02FB4" w14:textId="77777777" w:rsidR="009335C4" w:rsidRDefault="0093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7848" w14:textId="1AA317D9" w:rsidR="00534B1B" w:rsidRPr="00534B1B" w:rsidRDefault="00534B1B" w:rsidP="003F424F">
    <w:pPr>
      <w:pStyle w:val="SOPFooter"/>
      <w:tabs>
        <w:tab w:val="right" w:pos="9720"/>
        <w:tab w:val="right" w:pos="10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A9E1" w14:textId="77777777" w:rsidR="009335C4" w:rsidRDefault="009335C4">
      <w:r>
        <w:separator/>
      </w:r>
    </w:p>
  </w:footnote>
  <w:footnote w:type="continuationSeparator" w:id="0">
    <w:p w14:paraId="16F2A828" w14:textId="77777777" w:rsidR="009335C4" w:rsidRDefault="009335C4">
      <w:r>
        <w:continuationSeparator/>
      </w:r>
    </w:p>
  </w:footnote>
  <w:footnote w:type="continuationNotice" w:id="1">
    <w:p w14:paraId="3E04C008" w14:textId="77777777" w:rsidR="009335C4" w:rsidRDefault="009335C4"/>
  </w:footnote>
  <w:footnote w:id="2">
    <w:p w14:paraId="77C61536" w14:textId="56D3BCCE" w:rsidR="0093149E" w:rsidRDefault="0093149E" w:rsidP="0066088B">
      <w:pPr>
        <w:pStyle w:val="FootnoteText"/>
        <w:ind w:left="10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03"/>
      <w:gridCol w:w="3269"/>
      <w:gridCol w:w="2207"/>
      <w:gridCol w:w="2227"/>
    </w:tblGrid>
    <w:tr w:rsidR="008D6E22" w14:paraId="060F8F02" w14:textId="77777777" w:rsidTr="00A52F78">
      <w:trPr>
        <w:cantSplit/>
        <w:trHeight w:val="260"/>
      </w:trPr>
      <w:tc>
        <w:tcPr>
          <w:tcW w:w="28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0FB8885" w14:textId="3FA7894B" w:rsidR="008D6E22" w:rsidRDefault="625B86DD" w:rsidP="004945DA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94AE7ED" wp14:editId="62CB6F19">
                <wp:extent cx="1833326" cy="615635"/>
                <wp:effectExtent l="0" t="0" r="0" b="0"/>
                <wp:docPr id="109109613" name="Picture 1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326" cy="61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3A20" w14:textId="11D739A3" w:rsidR="008D6E22" w:rsidRDefault="78F49A98" w:rsidP="78F49A98">
          <w:pPr>
            <w:pStyle w:val="SOPName"/>
            <w:spacing w:before="120" w:after="120"/>
            <w:rPr>
              <w:rFonts w:ascii="Arial" w:eastAsia="Arial" w:hAnsi="Arial" w:cs="Arial"/>
              <w:b/>
              <w:bCs/>
              <w:szCs w:val="24"/>
            </w:rPr>
          </w:pPr>
          <w:r w:rsidRPr="78F49A98">
            <w:rPr>
              <w:rStyle w:val="SOPLeader"/>
              <w:rFonts w:ascii="Arial" w:eastAsia="Arial" w:hAnsi="Arial" w:cs="Arial"/>
              <w:szCs w:val="24"/>
            </w:rPr>
            <w:t xml:space="preserve">WORKSHEET: </w:t>
          </w:r>
          <w:r w:rsidRPr="00374A47"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When CR Applies to Minimal Risk Research </w:t>
          </w:r>
          <w:r w:rsidR="00374A47">
            <w:rPr>
              <w:rFonts w:ascii="Arial" w:eastAsia="Arial" w:hAnsi="Arial" w:cs="Arial"/>
              <w:b/>
              <w:bCs/>
              <w:sz w:val="16"/>
              <w:szCs w:val="16"/>
            </w:rPr>
            <w:t>P</w:t>
          </w:r>
          <w:r w:rsidRPr="00374A47">
            <w:rPr>
              <w:rFonts w:ascii="Arial" w:eastAsia="Arial" w:hAnsi="Arial" w:cs="Arial"/>
              <w:b/>
              <w:bCs/>
              <w:sz w:val="16"/>
              <w:szCs w:val="16"/>
            </w:rPr>
            <w:t>er Revised Common Rule</w:t>
          </w:r>
        </w:p>
      </w:tc>
    </w:tr>
    <w:tr w:rsidR="008D6E22" w14:paraId="36D110B2" w14:textId="77777777" w:rsidTr="00A52F78">
      <w:trPr>
        <w:cantSplit/>
        <w:trHeight w:val="288"/>
      </w:trPr>
      <w:tc>
        <w:tcPr>
          <w:tcW w:w="28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DEDE7BE" w14:textId="77777777" w:rsidR="008D6E22" w:rsidRDefault="008D6E22" w:rsidP="008D6E22">
          <w:pPr>
            <w:rPr>
              <w:rFonts w:ascii="Arial" w:hAnsi="Arial" w:cs="Arial"/>
            </w:rPr>
          </w:pPr>
        </w:p>
      </w:tc>
      <w:tc>
        <w:tcPr>
          <w:tcW w:w="3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AE01759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1EC9B6F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D13AC98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D6E22" w14:paraId="1393C055" w14:textId="77777777" w:rsidTr="00A52F78">
      <w:trPr>
        <w:cantSplit/>
        <w:trHeight w:val="288"/>
      </w:trPr>
      <w:tc>
        <w:tcPr>
          <w:tcW w:w="28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D7A4F77" w14:textId="77777777" w:rsidR="008D6E22" w:rsidRDefault="008D6E22" w:rsidP="008D6E22">
          <w:pPr>
            <w:rPr>
              <w:rFonts w:ascii="Arial" w:hAnsi="Arial" w:cs="Arial"/>
            </w:rPr>
          </w:pPr>
        </w:p>
      </w:tc>
      <w:tc>
        <w:tcPr>
          <w:tcW w:w="3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84730B2" w14:textId="36C5E04C" w:rsidR="008D6E22" w:rsidRPr="009E0F2A" w:rsidRDefault="008D6E22" w:rsidP="008D6E22">
          <w:pPr>
            <w:pStyle w:val="SOPTableEntry"/>
            <w:rPr>
              <w:rFonts w:ascii="Arial" w:hAnsi="Arial" w:cs="Arial"/>
            </w:rPr>
          </w:pPr>
          <w:r w:rsidRPr="009E0F2A">
            <w:rPr>
              <w:rFonts w:ascii="Arial" w:hAnsi="Arial" w:cs="Arial"/>
            </w:rPr>
            <w:t>HRP-</w:t>
          </w:r>
          <w:r w:rsidR="00BA1659" w:rsidRPr="009E0F2A">
            <w:rPr>
              <w:rFonts w:ascii="Arial" w:hAnsi="Arial" w:cs="Arial"/>
            </w:rPr>
            <w:t>349</w:t>
          </w:r>
          <w:r w:rsidR="007546C5">
            <w:rPr>
              <w:rFonts w:ascii="Arial" w:hAnsi="Arial" w:cs="Arial"/>
            </w:rPr>
            <w:t>a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23D370" w14:textId="47CA4BAC" w:rsidR="008D6E22" w:rsidRDefault="007546C5" w:rsidP="008D6E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r w:rsidR="00504CB1" w:rsidRPr="00206F33">
            <w:rPr>
              <w:rFonts w:ascii="Arial" w:hAnsi="Arial" w:cs="Arial"/>
            </w:rPr>
            <w:t>/1/202</w:t>
          </w:r>
          <w:r>
            <w:rPr>
              <w:rFonts w:ascii="Arial" w:hAnsi="Arial" w:cs="Arial"/>
            </w:rPr>
            <w:t>1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73410F" w14:textId="2675768E" w:rsidR="008D6E22" w:rsidRDefault="008D6E22" w:rsidP="008D6E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637B4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637B4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206B7844" w14:textId="77777777" w:rsidR="00AB29A3" w:rsidRPr="00321577" w:rsidRDefault="00AB29A3" w:rsidP="008D6E2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E6E1E0A"/>
    <w:multiLevelType w:val="multilevel"/>
    <w:tmpl w:val="50F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23B3F"/>
    <w:multiLevelType w:val="hybridMultilevel"/>
    <w:tmpl w:val="451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1C6204"/>
    <w:multiLevelType w:val="hybridMultilevel"/>
    <w:tmpl w:val="A2BC7F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E856835"/>
    <w:multiLevelType w:val="hybridMultilevel"/>
    <w:tmpl w:val="4D2C048A"/>
    <w:lvl w:ilvl="0" w:tplc="3C7CC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362757"/>
    <w:multiLevelType w:val="hybridMultilevel"/>
    <w:tmpl w:val="DF7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12BFF"/>
    <w:multiLevelType w:val="hybridMultilevel"/>
    <w:tmpl w:val="E54C2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6F61069"/>
    <w:multiLevelType w:val="hybridMultilevel"/>
    <w:tmpl w:val="9364E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4144394"/>
    <w:multiLevelType w:val="hybridMultilevel"/>
    <w:tmpl w:val="83DAD2A6"/>
    <w:lvl w:ilvl="0" w:tplc="AF365048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2DB39A2"/>
    <w:multiLevelType w:val="multilevel"/>
    <w:tmpl w:val="729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C6DDB"/>
    <w:multiLevelType w:val="hybridMultilevel"/>
    <w:tmpl w:val="8BB67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9973A7"/>
    <w:multiLevelType w:val="hybridMultilevel"/>
    <w:tmpl w:val="8AE059EC"/>
    <w:lvl w:ilvl="0" w:tplc="8786C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03FC"/>
    <w:multiLevelType w:val="multilevel"/>
    <w:tmpl w:val="FBF8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30"/>
  </w:num>
  <w:num w:numId="16">
    <w:abstractNumId w:val="36"/>
  </w:num>
  <w:num w:numId="17">
    <w:abstractNumId w:val="14"/>
  </w:num>
  <w:num w:numId="18">
    <w:abstractNumId w:val="35"/>
  </w:num>
  <w:num w:numId="19">
    <w:abstractNumId w:val="32"/>
  </w:num>
  <w:num w:numId="20">
    <w:abstractNumId w:val="31"/>
  </w:num>
  <w:num w:numId="21">
    <w:abstractNumId w:val="39"/>
  </w:num>
  <w:num w:numId="22">
    <w:abstractNumId w:val="21"/>
  </w:num>
  <w:num w:numId="23">
    <w:abstractNumId w:val="11"/>
  </w:num>
  <w:num w:numId="24">
    <w:abstractNumId w:val="41"/>
  </w:num>
  <w:num w:numId="25">
    <w:abstractNumId w:val="18"/>
  </w:num>
  <w:num w:numId="26">
    <w:abstractNumId w:val="24"/>
  </w:num>
  <w:num w:numId="27">
    <w:abstractNumId w:val="40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16"/>
  </w:num>
  <w:num w:numId="36">
    <w:abstractNumId w:val="22"/>
  </w:num>
  <w:num w:numId="37">
    <w:abstractNumId w:val="38"/>
  </w:num>
  <w:num w:numId="38">
    <w:abstractNumId w:val="33"/>
  </w:num>
  <w:num w:numId="39">
    <w:abstractNumId w:val="12"/>
  </w:num>
  <w:num w:numId="40">
    <w:abstractNumId w:val="15"/>
  </w:num>
  <w:num w:numId="41">
    <w:abstractNumId w:val="29"/>
  </w:num>
  <w:num w:numId="42">
    <w:abstractNumId w:val="20"/>
  </w:num>
  <w:num w:numId="43">
    <w:abstractNumId w:val="13"/>
  </w:num>
  <w:num w:numId="44">
    <w:abstractNumId w:val="37"/>
  </w:num>
  <w:num w:numId="45">
    <w:abstractNumId w:val="19"/>
  </w:num>
  <w:num w:numId="46">
    <w:abstractNumId w:val="23"/>
  </w:num>
  <w:num w:numId="47">
    <w:abstractNumId w:val="1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0C"/>
    <w:rsid w:val="00002548"/>
    <w:rsid w:val="00007D12"/>
    <w:rsid w:val="00010E09"/>
    <w:rsid w:val="000159EA"/>
    <w:rsid w:val="000304CB"/>
    <w:rsid w:val="000314C4"/>
    <w:rsid w:val="00032362"/>
    <w:rsid w:val="00033ABA"/>
    <w:rsid w:val="00034268"/>
    <w:rsid w:val="00035998"/>
    <w:rsid w:val="00041EF1"/>
    <w:rsid w:val="0004423C"/>
    <w:rsid w:val="00046792"/>
    <w:rsid w:val="00046D2A"/>
    <w:rsid w:val="00067D59"/>
    <w:rsid w:val="00067D5A"/>
    <w:rsid w:val="000723E2"/>
    <w:rsid w:val="00076A61"/>
    <w:rsid w:val="00080203"/>
    <w:rsid w:val="00081483"/>
    <w:rsid w:val="00083106"/>
    <w:rsid w:val="000857C5"/>
    <w:rsid w:val="00090A9D"/>
    <w:rsid w:val="000923DB"/>
    <w:rsid w:val="0009263A"/>
    <w:rsid w:val="0009274A"/>
    <w:rsid w:val="000954C3"/>
    <w:rsid w:val="00097037"/>
    <w:rsid w:val="00097141"/>
    <w:rsid w:val="000A4AA7"/>
    <w:rsid w:val="000B462A"/>
    <w:rsid w:val="000B4AAD"/>
    <w:rsid w:val="000C2450"/>
    <w:rsid w:val="000C433B"/>
    <w:rsid w:val="000E0031"/>
    <w:rsid w:val="000F55AE"/>
    <w:rsid w:val="00107D4B"/>
    <w:rsid w:val="00110B5F"/>
    <w:rsid w:val="001119F5"/>
    <w:rsid w:val="00125404"/>
    <w:rsid w:val="00125614"/>
    <w:rsid w:val="00126A31"/>
    <w:rsid w:val="00126E7C"/>
    <w:rsid w:val="0013043A"/>
    <w:rsid w:val="001324B1"/>
    <w:rsid w:val="00151E05"/>
    <w:rsid w:val="001533E6"/>
    <w:rsid w:val="0015634D"/>
    <w:rsid w:val="00161453"/>
    <w:rsid w:val="00164891"/>
    <w:rsid w:val="0018080F"/>
    <w:rsid w:val="00182F51"/>
    <w:rsid w:val="0018676C"/>
    <w:rsid w:val="0019354E"/>
    <w:rsid w:val="00194A43"/>
    <w:rsid w:val="001955F7"/>
    <w:rsid w:val="001968FD"/>
    <w:rsid w:val="001A07E7"/>
    <w:rsid w:val="001B0B19"/>
    <w:rsid w:val="001B0B3D"/>
    <w:rsid w:val="001B1A25"/>
    <w:rsid w:val="001B56EF"/>
    <w:rsid w:val="001C26D7"/>
    <w:rsid w:val="001D1446"/>
    <w:rsid w:val="001D41EE"/>
    <w:rsid w:val="001E0D7E"/>
    <w:rsid w:val="001E5C06"/>
    <w:rsid w:val="001F2491"/>
    <w:rsid w:val="001F2783"/>
    <w:rsid w:val="001F5D87"/>
    <w:rsid w:val="001F7F69"/>
    <w:rsid w:val="00206F33"/>
    <w:rsid w:val="00217570"/>
    <w:rsid w:val="002266CE"/>
    <w:rsid w:val="00234E78"/>
    <w:rsid w:val="0024178D"/>
    <w:rsid w:val="00244752"/>
    <w:rsid w:val="00250349"/>
    <w:rsid w:val="0025209A"/>
    <w:rsid w:val="002532B5"/>
    <w:rsid w:val="00253E25"/>
    <w:rsid w:val="0025448D"/>
    <w:rsid w:val="00256FF0"/>
    <w:rsid w:val="00263701"/>
    <w:rsid w:val="00264EEC"/>
    <w:rsid w:val="0027796E"/>
    <w:rsid w:val="002845CF"/>
    <w:rsid w:val="00287402"/>
    <w:rsid w:val="00292B6A"/>
    <w:rsid w:val="002936A0"/>
    <w:rsid w:val="00296DCC"/>
    <w:rsid w:val="002A20FB"/>
    <w:rsid w:val="002B1571"/>
    <w:rsid w:val="002B2273"/>
    <w:rsid w:val="002B7F45"/>
    <w:rsid w:val="002C0511"/>
    <w:rsid w:val="002C5928"/>
    <w:rsid w:val="002E098E"/>
    <w:rsid w:val="002E4E74"/>
    <w:rsid w:val="002F575C"/>
    <w:rsid w:val="0030441F"/>
    <w:rsid w:val="00305112"/>
    <w:rsid w:val="003121B8"/>
    <w:rsid w:val="00321577"/>
    <w:rsid w:val="00322292"/>
    <w:rsid w:val="003267B9"/>
    <w:rsid w:val="00335169"/>
    <w:rsid w:val="00336905"/>
    <w:rsid w:val="0034016D"/>
    <w:rsid w:val="003450FA"/>
    <w:rsid w:val="00350706"/>
    <w:rsid w:val="00353E1E"/>
    <w:rsid w:val="00357175"/>
    <w:rsid w:val="00357C1D"/>
    <w:rsid w:val="003645C1"/>
    <w:rsid w:val="00373896"/>
    <w:rsid w:val="0037422C"/>
    <w:rsid w:val="00374A47"/>
    <w:rsid w:val="00380737"/>
    <w:rsid w:val="003911F2"/>
    <w:rsid w:val="00397FA8"/>
    <w:rsid w:val="003A0997"/>
    <w:rsid w:val="003A177C"/>
    <w:rsid w:val="003A6DEA"/>
    <w:rsid w:val="003B48E8"/>
    <w:rsid w:val="003B75D3"/>
    <w:rsid w:val="003D1799"/>
    <w:rsid w:val="003D722B"/>
    <w:rsid w:val="003D73E7"/>
    <w:rsid w:val="003E1AF6"/>
    <w:rsid w:val="003E4B0C"/>
    <w:rsid w:val="003E6066"/>
    <w:rsid w:val="003E7E4F"/>
    <w:rsid w:val="003F080C"/>
    <w:rsid w:val="003F157E"/>
    <w:rsid w:val="003F418F"/>
    <w:rsid w:val="003F424F"/>
    <w:rsid w:val="003F55EC"/>
    <w:rsid w:val="00407DE6"/>
    <w:rsid w:val="004113B3"/>
    <w:rsid w:val="00433D6D"/>
    <w:rsid w:val="004351BF"/>
    <w:rsid w:val="00436538"/>
    <w:rsid w:val="00446F52"/>
    <w:rsid w:val="00454971"/>
    <w:rsid w:val="0046138D"/>
    <w:rsid w:val="00471E73"/>
    <w:rsid w:val="00472909"/>
    <w:rsid w:val="0047565A"/>
    <w:rsid w:val="00476A81"/>
    <w:rsid w:val="004945DA"/>
    <w:rsid w:val="004A437D"/>
    <w:rsid w:val="004B0D3D"/>
    <w:rsid w:val="004B26F6"/>
    <w:rsid w:val="004C1756"/>
    <w:rsid w:val="004D0023"/>
    <w:rsid w:val="004D1686"/>
    <w:rsid w:val="004D2EA4"/>
    <w:rsid w:val="004D3DF6"/>
    <w:rsid w:val="004D5629"/>
    <w:rsid w:val="00504598"/>
    <w:rsid w:val="00504CB1"/>
    <w:rsid w:val="00505115"/>
    <w:rsid w:val="0052734A"/>
    <w:rsid w:val="00530AF8"/>
    <w:rsid w:val="00534B1B"/>
    <w:rsid w:val="00541161"/>
    <w:rsid w:val="005416CE"/>
    <w:rsid w:val="00546EA5"/>
    <w:rsid w:val="0055189E"/>
    <w:rsid w:val="0055338F"/>
    <w:rsid w:val="005534E2"/>
    <w:rsid w:val="005540BA"/>
    <w:rsid w:val="00560433"/>
    <w:rsid w:val="00562F93"/>
    <w:rsid w:val="00564C51"/>
    <w:rsid w:val="0057438B"/>
    <w:rsid w:val="00576376"/>
    <w:rsid w:val="00577406"/>
    <w:rsid w:val="00577F0E"/>
    <w:rsid w:val="00582628"/>
    <w:rsid w:val="00587C0C"/>
    <w:rsid w:val="005A2F70"/>
    <w:rsid w:val="005A4624"/>
    <w:rsid w:val="005A4BC4"/>
    <w:rsid w:val="005B0234"/>
    <w:rsid w:val="005B1B7B"/>
    <w:rsid w:val="005C61D5"/>
    <w:rsid w:val="005D0CF2"/>
    <w:rsid w:val="005E4515"/>
    <w:rsid w:val="005F668A"/>
    <w:rsid w:val="0060136E"/>
    <w:rsid w:val="00605E1C"/>
    <w:rsid w:val="0061013E"/>
    <w:rsid w:val="00616F23"/>
    <w:rsid w:val="006207F1"/>
    <w:rsid w:val="00627728"/>
    <w:rsid w:val="0063291B"/>
    <w:rsid w:val="00635C5D"/>
    <w:rsid w:val="00637B45"/>
    <w:rsid w:val="00644759"/>
    <w:rsid w:val="00645727"/>
    <w:rsid w:val="0066006D"/>
    <w:rsid w:val="0066088B"/>
    <w:rsid w:val="00661BF5"/>
    <w:rsid w:val="00662B81"/>
    <w:rsid w:val="00666544"/>
    <w:rsid w:val="00667555"/>
    <w:rsid w:val="00670138"/>
    <w:rsid w:val="00690C47"/>
    <w:rsid w:val="0069117E"/>
    <w:rsid w:val="0069273E"/>
    <w:rsid w:val="006968D8"/>
    <w:rsid w:val="006A279A"/>
    <w:rsid w:val="006A4423"/>
    <w:rsid w:val="006A4736"/>
    <w:rsid w:val="006A4893"/>
    <w:rsid w:val="006A4DFB"/>
    <w:rsid w:val="006A7F27"/>
    <w:rsid w:val="006B2D3F"/>
    <w:rsid w:val="006C71D4"/>
    <w:rsid w:val="006D0CF1"/>
    <w:rsid w:val="006D73FF"/>
    <w:rsid w:val="006F67D2"/>
    <w:rsid w:val="00711AFA"/>
    <w:rsid w:val="00722449"/>
    <w:rsid w:val="0072267E"/>
    <w:rsid w:val="00731FB5"/>
    <w:rsid w:val="00736654"/>
    <w:rsid w:val="00746AEB"/>
    <w:rsid w:val="00752919"/>
    <w:rsid w:val="00753655"/>
    <w:rsid w:val="007546C5"/>
    <w:rsid w:val="007577A7"/>
    <w:rsid w:val="007621F3"/>
    <w:rsid w:val="007632DC"/>
    <w:rsid w:val="00765CA8"/>
    <w:rsid w:val="00776CFD"/>
    <w:rsid w:val="00777A1C"/>
    <w:rsid w:val="00782D1E"/>
    <w:rsid w:val="0078559C"/>
    <w:rsid w:val="0079572C"/>
    <w:rsid w:val="007B1F2C"/>
    <w:rsid w:val="007C46C1"/>
    <w:rsid w:val="007D15D5"/>
    <w:rsid w:val="007D2043"/>
    <w:rsid w:val="007D34E5"/>
    <w:rsid w:val="007D38EE"/>
    <w:rsid w:val="007D6807"/>
    <w:rsid w:val="007F5E9B"/>
    <w:rsid w:val="00800727"/>
    <w:rsid w:val="00802062"/>
    <w:rsid w:val="00807ACF"/>
    <w:rsid w:val="00814F39"/>
    <w:rsid w:val="008170A4"/>
    <w:rsid w:val="00837738"/>
    <w:rsid w:val="00842663"/>
    <w:rsid w:val="00842A85"/>
    <w:rsid w:val="0085094E"/>
    <w:rsid w:val="00853F4C"/>
    <w:rsid w:val="0085613A"/>
    <w:rsid w:val="00866471"/>
    <w:rsid w:val="00867E35"/>
    <w:rsid w:val="00875856"/>
    <w:rsid w:val="008A14AF"/>
    <w:rsid w:val="008A3908"/>
    <w:rsid w:val="008C109B"/>
    <w:rsid w:val="008C4045"/>
    <w:rsid w:val="008D601B"/>
    <w:rsid w:val="008D6E22"/>
    <w:rsid w:val="008E395A"/>
    <w:rsid w:val="008E775A"/>
    <w:rsid w:val="008F27B2"/>
    <w:rsid w:val="008F2FE3"/>
    <w:rsid w:val="0090026D"/>
    <w:rsid w:val="00901414"/>
    <w:rsid w:val="0090183C"/>
    <w:rsid w:val="009051E6"/>
    <w:rsid w:val="00917B7F"/>
    <w:rsid w:val="00920294"/>
    <w:rsid w:val="00921A91"/>
    <w:rsid w:val="00922549"/>
    <w:rsid w:val="0093149E"/>
    <w:rsid w:val="009335C4"/>
    <w:rsid w:val="00935A7A"/>
    <w:rsid w:val="00936DCA"/>
    <w:rsid w:val="00944550"/>
    <w:rsid w:val="00945A6D"/>
    <w:rsid w:val="00946708"/>
    <w:rsid w:val="00970024"/>
    <w:rsid w:val="009734DD"/>
    <w:rsid w:val="00973C33"/>
    <w:rsid w:val="009A7045"/>
    <w:rsid w:val="009B2C96"/>
    <w:rsid w:val="009B510C"/>
    <w:rsid w:val="009C05E2"/>
    <w:rsid w:val="009C207A"/>
    <w:rsid w:val="009C23D0"/>
    <w:rsid w:val="009C704D"/>
    <w:rsid w:val="009D0B2D"/>
    <w:rsid w:val="009E0F2A"/>
    <w:rsid w:val="00A003F5"/>
    <w:rsid w:val="00A00D48"/>
    <w:rsid w:val="00A05445"/>
    <w:rsid w:val="00A13290"/>
    <w:rsid w:val="00A16B55"/>
    <w:rsid w:val="00A203E7"/>
    <w:rsid w:val="00A2067F"/>
    <w:rsid w:val="00A25D4D"/>
    <w:rsid w:val="00A27E7E"/>
    <w:rsid w:val="00A3107A"/>
    <w:rsid w:val="00A4274F"/>
    <w:rsid w:val="00A52F78"/>
    <w:rsid w:val="00A673BA"/>
    <w:rsid w:val="00A73875"/>
    <w:rsid w:val="00A874C8"/>
    <w:rsid w:val="00A91A3E"/>
    <w:rsid w:val="00AA4333"/>
    <w:rsid w:val="00AA7935"/>
    <w:rsid w:val="00AB29A3"/>
    <w:rsid w:val="00AB43F2"/>
    <w:rsid w:val="00AB52D4"/>
    <w:rsid w:val="00AB5B22"/>
    <w:rsid w:val="00AC0C51"/>
    <w:rsid w:val="00AC560B"/>
    <w:rsid w:val="00AD4F01"/>
    <w:rsid w:val="00AD5394"/>
    <w:rsid w:val="00AE1DBD"/>
    <w:rsid w:val="00AE2818"/>
    <w:rsid w:val="00B014FE"/>
    <w:rsid w:val="00B03549"/>
    <w:rsid w:val="00B0703F"/>
    <w:rsid w:val="00B1504B"/>
    <w:rsid w:val="00B4278A"/>
    <w:rsid w:val="00B42EE1"/>
    <w:rsid w:val="00B5304C"/>
    <w:rsid w:val="00B54315"/>
    <w:rsid w:val="00B612B5"/>
    <w:rsid w:val="00B61BCA"/>
    <w:rsid w:val="00B70190"/>
    <w:rsid w:val="00B72CBE"/>
    <w:rsid w:val="00B74C37"/>
    <w:rsid w:val="00B83F5D"/>
    <w:rsid w:val="00B86C18"/>
    <w:rsid w:val="00B930F5"/>
    <w:rsid w:val="00B97272"/>
    <w:rsid w:val="00B973F0"/>
    <w:rsid w:val="00BA00A1"/>
    <w:rsid w:val="00BA1659"/>
    <w:rsid w:val="00BA282D"/>
    <w:rsid w:val="00BA323D"/>
    <w:rsid w:val="00BA6075"/>
    <w:rsid w:val="00BB4A3C"/>
    <w:rsid w:val="00BB5CE9"/>
    <w:rsid w:val="00BE1E00"/>
    <w:rsid w:val="00BE54A6"/>
    <w:rsid w:val="00BF3C81"/>
    <w:rsid w:val="00BF585A"/>
    <w:rsid w:val="00BF599A"/>
    <w:rsid w:val="00C0319E"/>
    <w:rsid w:val="00C12231"/>
    <w:rsid w:val="00C22374"/>
    <w:rsid w:val="00C270BA"/>
    <w:rsid w:val="00C3240C"/>
    <w:rsid w:val="00C455A7"/>
    <w:rsid w:val="00C57F3D"/>
    <w:rsid w:val="00C66F73"/>
    <w:rsid w:val="00C7143F"/>
    <w:rsid w:val="00C75807"/>
    <w:rsid w:val="00C83D97"/>
    <w:rsid w:val="00C865E5"/>
    <w:rsid w:val="00C93AEA"/>
    <w:rsid w:val="00C96C1C"/>
    <w:rsid w:val="00CB1DFC"/>
    <w:rsid w:val="00CB1F1F"/>
    <w:rsid w:val="00CB31F4"/>
    <w:rsid w:val="00CC6C2B"/>
    <w:rsid w:val="00CF072A"/>
    <w:rsid w:val="00D0092D"/>
    <w:rsid w:val="00D054B6"/>
    <w:rsid w:val="00D10A06"/>
    <w:rsid w:val="00D15898"/>
    <w:rsid w:val="00D20637"/>
    <w:rsid w:val="00D25360"/>
    <w:rsid w:val="00D25CAA"/>
    <w:rsid w:val="00D375C1"/>
    <w:rsid w:val="00D446E4"/>
    <w:rsid w:val="00D648E5"/>
    <w:rsid w:val="00D84FF4"/>
    <w:rsid w:val="00DA1AFB"/>
    <w:rsid w:val="00DA4F56"/>
    <w:rsid w:val="00DA6B21"/>
    <w:rsid w:val="00DA7B22"/>
    <w:rsid w:val="00DE30C2"/>
    <w:rsid w:val="00DE5912"/>
    <w:rsid w:val="00DE7DC9"/>
    <w:rsid w:val="00E15BD4"/>
    <w:rsid w:val="00E16EAF"/>
    <w:rsid w:val="00E22DE3"/>
    <w:rsid w:val="00E30C6D"/>
    <w:rsid w:val="00E34060"/>
    <w:rsid w:val="00E4430C"/>
    <w:rsid w:val="00E52454"/>
    <w:rsid w:val="00E60BCE"/>
    <w:rsid w:val="00E729A5"/>
    <w:rsid w:val="00E77BA3"/>
    <w:rsid w:val="00E820C3"/>
    <w:rsid w:val="00E85C9D"/>
    <w:rsid w:val="00E86955"/>
    <w:rsid w:val="00EA6EF1"/>
    <w:rsid w:val="00EB26A2"/>
    <w:rsid w:val="00EB40D4"/>
    <w:rsid w:val="00EC5752"/>
    <w:rsid w:val="00EC576D"/>
    <w:rsid w:val="00EC7417"/>
    <w:rsid w:val="00ED66E3"/>
    <w:rsid w:val="00EF1B36"/>
    <w:rsid w:val="00F01402"/>
    <w:rsid w:val="00F02B2A"/>
    <w:rsid w:val="00F06360"/>
    <w:rsid w:val="00F133CB"/>
    <w:rsid w:val="00F23D2B"/>
    <w:rsid w:val="00F31056"/>
    <w:rsid w:val="00F33594"/>
    <w:rsid w:val="00F773C1"/>
    <w:rsid w:val="00F81D8F"/>
    <w:rsid w:val="00F81F61"/>
    <w:rsid w:val="00F86176"/>
    <w:rsid w:val="00FA2167"/>
    <w:rsid w:val="00FA65A6"/>
    <w:rsid w:val="00FA6863"/>
    <w:rsid w:val="00FB3662"/>
    <w:rsid w:val="00FC07E4"/>
    <w:rsid w:val="00FD6121"/>
    <w:rsid w:val="00FD6E67"/>
    <w:rsid w:val="00FD7409"/>
    <w:rsid w:val="00FE0F6D"/>
    <w:rsid w:val="00FE10B3"/>
    <w:rsid w:val="00FE1442"/>
    <w:rsid w:val="00FF2C59"/>
    <w:rsid w:val="06DD1C19"/>
    <w:rsid w:val="07C188BC"/>
    <w:rsid w:val="0B410E68"/>
    <w:rsid w:val="0BBDE402"/>
    <w:rsid w:val="0C885F9C"/>
    <w:rsid w:val="0F3F6DAB"/>
    <w:rsid w:val="13E5E14C"/>
    <w:rsid w:val="16C40D56"/>
    <w:rsid w:val="17C32548"/>
    <w:rsid w:val="1894D115"/>
    <w:rsid w:val="1AAE7D6A"/>
    <w:rsid w:val="1C1AAEEC"/>
    <w:rsid w:val="1EF88310"/>
    <w:rsid w:val="2016C5E1"/>
    <w:rsid w:val="2127FDD2"/>
    <w:rsid w:val="21FBC745"/>
    <w:rsid w:val="241F877F"/>
    <w:rsid w:val="24628111"/>
    <w:rsid w:val="26201B02"/>
    <w:rsid w:val="2CC19F72"/>
    <w:rsid w:val="30D8B38B"/>
    <w:rsid w:val="3139046B"/>
    <w:rsid w:val="346547DF"/>
    <w:rsid w:val="34B4D7A4"/>
    <w:rsid w:val="34FA09DE"/>
    <w:rsid w:val="38E19837"/>
    <w:rsid w:val="3A67FAA5"/>
    <w:rsid w:val="3C849732"/>
    <w:rsid w:val="3E5EEC6D"/>
    <w:rsid w:val="3FD8B0C3"/>
    <w:rsid w:val="40490700"/>
    <w:rsid w:val="43695C20"/>
    <w:rsid w:val="436B1D08"/>
    <w:rsid w:val="4447126C"/>
    <w:rsid w:val="46414D65"/>
    <w:rsid w:val="467A4E58"/>
    <w:rsid w:val="4729C67E"/>
    <w:rsid w:val="477C8281"/>
    <w:rsid w:val="4A792E8A"/>
    <w:rsid w:val="4E25028A"/>
    <w:rsid w:val="4F8A4E70"/>
    <w:rsid w:val="55025DCE"/>
    <w:rsid w:val="5CE52BA8"/>
    <w:rsid w:val="6069E924"/>
    <w:rsid w:val="6086F5C6"/>
    <w:rsid w:val="6191B3D6"/>
    <w:rsid w:val="620A140F"/>
    <w:rsid w:val="625B86DD"/>
    <w:rsid w:val="650F2BDF"/>
    <w:rsid w:val="6572012F"/>
    <w:rsid w:val="67E2BA84"/>
    <w:rsid w:val="69109A57"/>
    <w:rsid w:val="6F6C7A20"/>
    <w:rsid w:val="701E13B4"/>
    <w:rsid w:val="70DDB3B7"/>
    <w:rsid w:val="723EDA21"/>
    <w:rsid w:val="72D2B39F"/>
    <w:rsid w:val="7638F833"/>
    <w:rsid w:val="767E1C01"/>
    <w:rsid w:val="78F49A98"/>
    <w:rsid w:val="7AB3BD6B"/>
    <w:rsid w:val="7F6D249B"/>
    <w:rsid w:val="7F84D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6B7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17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uiPriority w:val="22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  <w:style w:type="character" w:customStyle="1" w:styleId="ChecklistBasisChar">
    <w:name w:val="Checklist Basis Char"/>
    <w:link w:val="ChecklistBasis"/>
    <w:rsid w:val="009C23D0"/>
    <w:rPr>
      <w:rFonts w:ascii="Arial Narrow" w:hAnsi="Arial Narrow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4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C37"/>
    <w:pPr>
      <w:ind w:left="720"/>
      <w:contextualSpacing/>
    </w:pPr>
  </w:style>
  <w:style w:type="character" w:customStyle="1" w:styleId="e24kjd">
    <w:name w:val="e24kjd"/>
    <w:basedOn w:val="DefaultParagraphFont"/>
    <w:rsid w:val="00917B7F"/>
  </w:style>
  <w:style w:type="character" w:customStyle="1" w:styleId="kx21rb">
    <w:name w:val="kx21rb"/>
    <w:basedOn w:val="DefaultParagraphFont"/>
    <w:rsid w:val="00917B7F"/>
  </w:style>
  <w:style w:type="character" w:styleId="CommentReference">
    <w:name w:val="annotation reference"/>
    <w:basedOn w:val="DefaultParagraphFont"/>
    <w:semiHidden/>
    <w:unhideWhenUsed/>
    <w:rsid w:val="00471E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E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1E73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931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149E"/>
  </w:style>
  <w:style w:type="character" w:styleId="FootnoteReference">
    <w:name w:val="footnote reference"/>
    <w:basedOn w:val="DefaultParagraphFont"/>
    <w:semiHidden/>
    <w:unhideWhenUsed/>
    <w:rsid w:val="00931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C45F6-854D-4322-A62F-5104A1382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342FF-F2AE-4519-8696-1ECBAE07FC7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EA100F86-275E-412B-822D-F0C88D99A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080F0-0789-4F9F-93C1-5111FE81E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2020-07-01T14:07:00Z</dcterms:created>
  <dcterms:modified xsi:type="dcterms:W3CDTF">2021-01-11T18:14:00Z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