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9"/>
        <w:gridCol w:w="9993"/>
      </w:tblGrid>
      <w:tr w:rsidR="008B5426" w:rsidRPr="004A3863" w14:paraId="43E7769A" w14:textId="77777777" w:rsidTr="39F83F6F">
        <w:tc>
          <w:tcPr>
            <w:tcW w:w="10438" w:type="dxa"/>
            <w:gridSpan w:val="3"/>
            <w:tcBorders>
              <w:top w:val="single" w:sz="36" w:space="0" w:color="auto"/>
              <w:bottom w:val="single" w:sz="36" w:space="0" w:color="auto"/>
            </w:tcBorders>
          </w:tcPr>
          <w:p w14:paraId="1D258837" w14:textId="3D3DDA1A" w:rsidR="006D5CD2" w:rsidRPr="00A97C89" w:rsidRDefault="4E120419" w:rsidP="0045704B">
            <w:pPr>
              <w:pStyle w:val="ChecklistLevel1"/>
              <w:numPr>
                <w:ilvl w:val="0"/>
                <w:numId w:val="0"/>
              </w:numPr>
              <w:tabs>
                <w:tab w:val="clear" w:pos="360"/>
              </w:tabs>
              <w:rPr>
                <w:b w:val="0"/>
                <w:sz w:val="22"/>
                <w:szCs w:val="22"/>
              </w:rPr>
            </w:pPr>
            <w:bookmarkStart w:id="0" w:name="_GoBack"/>
            <w:bookmarkEnd w:id="0"/>
            <w:r w:rsidRPr="00A97C89">
              <w:rPr>
                <w:b w:val="0"/>
                <w:sz w:val="22"/>
                <w:szCs w:val="22"/>
              </w:rPr>
              <w:t xml:space="preserve">The purpose of this worksheet is to provide support and guidance for IRB Reviewers, Staff, and Researchers </w:t>
            </w:r>
            <w:r w:rsidR="0045704B" w:rsidRPr="00A97C89">
              <w:rPr>
                <w:b w:val="0"/>
                <w:sz w:val="22"/>
                <w:szCs w:val="22"/>
              </w:rPr>
              <w:t xml:space="preserve">to determine whether the proposed human research </w:t>
            </w:r>
            <w:r w:rsidRPr="00A97C89">
              <w:rPr>
                <w:b w:val="0"/>
                <w:sz w:val="22"/>
                <w:szCs w:val="22"/>
              </w:rPr>
              <w:t>must adhere to</w:t>
            </w:r>
            <w:r w:rsidR="0045704B" w:rsidRPr="00A97C89">
              <w:rPr>
                <w:b w:val="0"/>
                <w:sz w:val="22"/>
                <w:szCs w:val="22"/>
              </w:rPr>
              <w:t xml:space="preserve"> the</w:t>
            </w:r>
            <w:r w:rsidRPr="00A97C89">
              <w:rPr>
                <w:b w:val="0"/>
                <w:sz w:val="22"/>
                <w:szCs w:val="22"/>
              </w:rPr>
              <w:t xml:space="preserve"> </w:t>
            </w:r>
            <w:r w:rsidRPr="00A97C89">
              <w:rPr>
                <w:b w:val="0"/>
                <w:sz w:val="22"/>
                <w:szCs w:val="22"/>
                <w:u w:val="single"/>
              </w:rPr>
              <w:t>General Data Protection Regulation</w:t>
            </w:r>
            <w:r w:rsidRPr="00A97C89">
              <w:rPr>
                <w:b w:val="0"/>
                <w:sz w:val="22"/>
                <w:szCs w:val="22"/>
              </w:rPr>
              <w:t xml:space="preserve"> (GDPR). This E</w:t>
            </w:r>
            <w:r w:rsidR="00452537" w:rsidRPr="00A97C89">
              <w:rPr>
                <w:b w:val="0"/>
                <w:sz w:val="22"/>
                <w:szCs w:val="22"/>
              </w:rPr>
              <w:t xml:space="preserve">uropean </w:t>
            </w:r>
            <w:r w:rsidRPr="00A97C89">
              <w:rPr>
                <w:b w:val="0"/>
                <w:sz w:val="22"/>
                <w:szCs w:val="22"/>
              </w:rPr>
              <w:t>U</w:t>
            </w:r>
            <w:r w:rsidR="00452537" w:rsidRPr="00A97C89">
              <w:rPr>
                <w:b w:val="0"/>
                <w:sz w:val="22"/>
                <w:szCs w:val="22"/>
              </w:rPr>
              <w:t>nion</w:t>
            </w:r>
            <w:r w:rsidRPr="00A97C89">
              <w:rPr>
                <w:b w:val="0"/>
                <w:sz w:val="22"/>
                <w:szCs w:val="22"/>
              </w:rPr>
              <w:t xml:space="preserve"> regulation establishes and enhances protections for the privacy and security of personal data about individuals residing within the European Economic Area</w:t>
            </w:r>
            <w:r w:rsidR="000B4B3B">
              <w:rPr>
                <w:b w:val="0"/>
                <w:sz w:val="22"/>
                <w:szCs w:val="22"/>
              </w:rPr>
              <w:t xml:space="preserve"> (EEA)</w:t>
            </w:r>
            <w:r w:rsidRPr="00A97C89">
              <w:rPr>
                <w:b w:val="0"/>
                <w:sz w:val="22"/>
                <w:szCs w:val="22"/>
              </w:rPr>
              <w:t xml:space="preserve">. </w:t>
            </w:r>
            <w:r w:rsidRPr="00A97C89">
              <w:rPr>
                <w:sz w:val="22"/>
                <w:szCs w:val="22"/>
              </w:rPr>
              <w:t xml:space="preserve"> </w:t>
            </w:r>
            <w:r w:rsidRPr="00A97C89">
              <w:rPr>
                <w:b w:val="0"/>
                <w:sz w:val="22"/>
                <w:szCs w:val="22"/>
              </w:rPr>
              <w:t>This WORKSHEET does not need to be completed or retained.</w:t>
            </w:r>
          </w:p>
        </w:tc>
      </w:tr>
      <w:tr w:rsidR="008B5426" w:rsidRPr="004A3863" w14:paraId="0BCF1235" w14:textId="77777777" w:rsidTr="39F83F6F">
        <w:trPr>
          <w:trHeight w:val="336"/>
        </w:trPr>
        <w:tc>
          <w:tcPr>
            <w:tcW w:w="10438" w:type="dxa"/>
            <w:gridSpan w:val="3"/>
            <w:tcBorders>
              <w:top w:val="single" w:sz="36" w:space="0" w:color="auto"/>
            </w:tcBorders>
            <w:vAlign w:val="center"/>
          </w:tcPr>
          <w:p w14:paraId="21BDDCDF" w14:textId="5175CEE1" w:rsidR="008B5426" w:rsidRPr="00A97C89" w:rsidRDefault="005E2188" w:rsidP="00A97C89">
            <w:pPr>
              <w:pStyle w:val="ChecklistLevel1"/>
              <w:numPr>
                <w:ilvl w:val="0"/>
                <w:numId w:val="19"/>
              </w:numPr>
              <w:rPr>
                <w:sz w:val="22"/>
                <w:szCs w:val="22"/>
              </w:rPr>
            </w:pPr>
            <w:r w:rsidRPr="00A97C89">
              <w:rPr>
                <w:sz w:val="22"/>
                <w:szCs w:val="22"/>
              </w:rPr>
              <w:t>When Does GDPR Apply:</w:t>
            </w:r>
            <w:r w:rsidR="001C017E" w:rsidRPr="00A97C89">
              <w:rPr>
                <w:sz w:val="22"/>
                <w:szCs w:val="22"/>
              </w:rPr>
              <w:t xml:space="preserve"> </w:t>
            </w:r>
            <w:r w:rsidR="005A4E4A" w:rsidRPr="00A97C89">
              <w:rPr>
                <w:b w:val="0"/>
                <w:sz w:val="22"/>
                <w:szCs w:val="22"/>
              </w:rPr>
              <w:t xml:space="preserve">Compliance with </w:t>
            </w:r>
            <w:r w:rsidR="00F14760" w:rsidRPr="00A97C89">
              <w:rPr>
                <w:b w:val="0"/>
                <w:sz w:val="22"/>
                <w:szCs w:val="22"/>
              </w:rPr>
              <w:t>GDPR is required when Sections</w:t>
            </w:r>
            <w:r w:rsidR="0057082B" w:rsidRPr="00A97C89">
              <w:rPr>
                <w:b w:val="0"/>
                <w:sz w:val="22"/>
                <w:szCs w:val="22"/>
              </w:rPr>
              <w:t xml:space="preserve"> (</w:t>
            </w:r>
            <w:r w:rsidR="563C0010" w:rsidRPr="00A97C89">
              <w:rPr>
                <w:b w:val="0"/>
                <w:sz w:val="22"/>
                <w:szCs w:val="22"/>
              </w:rPr>
              <w:t>1</w:t>
            </w:r>
            <w:r w:rsidR="0057082B" w:rsidRPr="00A97C89">
              <w:rPr>
                <w:b w:val="0"/>
                <w:sz w:val="22"/>
                <w:szCs w:val="22"/>
              </w:rPr>
              <w:t xml:space="preserve">a) </w:t>
            </w:r>
            <w:r w:rsidR="0057082B" w:rsidRPr="00A97C89">
              <w:rPr>
                <w:bCs/>
                <w:sz w:val="22"/>
                <w:szCs w:val="22"/>
                <w:u w:val="single"/>
              </w:rPr>
              <w:t>A</w:t>
            </w:r>
            <w:r w:rsidR="008269B5" w:rsidRPr="00A97C89">
              <w:rPr>
                <w:bCs/>
                <w:sz w:val="22"/>
                <w:szCs w:val="22"/>
                <w:u w:val="single"/>
              </w:rPr>
              <w:t>ND</w:t>
            </w:r>
            <w:r w:rsidR="0057082B" w:rsidRPr="00A97C89">
              <w:rPr>
                <w:bCs/>
                <w:sz w:val="22"/>
                <w:szCs w:val="22"/>
              </w:rPr>
              <w:t xml:space="preserve"> </w:t>
            </w:r>
            <w:r w:rsidR="0057082B" w:rsidRPr="00A97C89">
              <w:rPr>
                <w:b w:val="0"/>
                <w:sz w:val="22"/>
                <w:szCs w:val="22"/>
              </w:rPr>
              <w:t>(</w:t>
            </w:r>
            <w:r w:rsidR="51A2BDC0" w:rsidRPr="00A97C89">
              <w:rPr>
                <w:b w:val="0"/>
                <w:sz w:val="22"/>
                <w:szCs w:val="22"/>
              </w:rPr>
              <w:t>1</w:t>
            </w:r>
            <w:r w:rsidR="0057082B" w:rsidRPr="00A97C89">
              <w:rPr>
                <w:b w:val="0"/>
                <w:sz w:val="22"/>
                <w:szCs w:val="22"/>
              </w:rPr>
              <w:t xml:space="preserve">b) </w:t>
            </w:r>
            <w:r w:rsidR="00F14760" w:rsidRPr="00A97C89">
              <w:rPr>
                <w:b w:val="0"/>
                <w:sz w:val="22"/>
                <w:szCs w:val="22"/>
              </w:rPr>
              <w:t>below apply to the research</w:t>
            </w:r>
            <w:r w:rsidR="0057082B" w:rsidRPr="00A97C89">
              <w:rPr>
                <w:b w:val="0"/>
                <w:sz w:val="22"/>
                <w:szCs w:val="22"/>
              </w:rPr>
              <w:t>:</w:t>
            </w:r>
          </w:p>
        </w:tc>
      </w:tr>
      <w:tr w:rsidR="00D80987" w:rsidRPr="004A3863" w14:paraId="46DB30B1" w14:textId="77777777" w:rsidTr="39F83F6F">
        <w:tc>
          <w:tcPr>
            <w:tcW w:w="406" w:type="dxa"/>
            <w:tcBorders>
              <w:top w:val="single" w:sz="2" w:space="0" w:color="auto"/>
            </w:tcBorders>
          </w:tcPr>
          <w:p w14:paraId="038BBE21" w14:textId="654494B3" w:rsidR="00D80987" w:rsidRPr="003839EC" w:rsidRDefault="00D80987" w:rsidP="008911EB">
            <w:pPr>
              <w:pStyle w:val="ChecklistLevel1"/>
              <w:numPr>
                <w:ilvl w:val="0"/>
                <w:numId w:val="0"/>
              </w:numPr>
              <w:tabs>
                <w:tab w:val="clear" w:pos="360"/>
              </w:tabs>
              <w:ind w:left="250" w:hanging="250"/>
              <w:jc w:val="center"/>
              <w:rPr>
                <w:iCs/>
                <w:sz w:val="22"/>
                <w:szCs w:val="22"/>
              </w:rPr>
            </w:pPr>
            <w:r w:rsidRPr="003839EC">
              <w:rPr>
                <w:rFonts w:ascii="Segoe UI Symbol" w:eastAsia="MS Gothic" w:hAnsi="Segoe UI Symbol" w:cs="Segoe UI Symbol"/>
                <w:b w:val="0"/>
                <w:sz w:val="22"/>
                <w:szCs w:val="22"/>
              </w:rPr>
              <w:t>☐</w:t>
            </w:r>
          </w:p>
        </w:tc>
        <w:tc>
          <w:tcPr>
            <w:tcW w:w="10032" w:type="dxa"/>
            <w:gridSpan w:val="2"/>
            <w:tcBorders>
              <w:top w:val="single" w:sz="2" w:space="0" w:color="auto"/>
            </w:tcBorders>
          </w:tcPr>
          <w:p w14:paraId="05175405" w14:textId="049EDF52" w:rsidR="00836602" w:rsidRPr="003839EC" w:rsidRDefault="00F675CE" w:rsidP="00A97C89">
            <w:pPr>
              <w:pStyle w:val="ChecklistLevel1"/>
              <w:numPr>
                <w:ilvl w:val="0"/>
                <w:numId w:val="24"/>
              </w:numPr>
              <w:tabs>
                <w:tab w:val="clear" w:pos="360"/>
              </w:tabs>
              <w:ind w:left="382"/>
              <w:rPr>
                <w:b w:val="0"/>
                <w:sz w:val="20"/>
                <w:szCs w:val="20"/>
              </w:rPr>
            </w:pPr>
            <w:r w:rsidRPr="003839EC">
              <w:rPr>
                <w:sz w:val="20"/>
                <w:szCs w:val="20"/>
              </w:rPr>
              <w:t>The research plans to obtain</w:t>
            </w:r>
            <w:r w:rsidR="003839EC" w:rsidRPr="003839EC">
              <w:rPr>
                <w:sz w:val="20"/>
                <w:szCs w:val="20"/>
              </w:rPr>
              <w:t xml:space="preserve"> </w:t>
            </w:r>
            <w:r w:rsidR="003839EC">
              <w:rPr>
                <w:sz w:val="20"/>
                <w:szCs w:val="20"/>
              </w:rPr>
              <w:t>or</w:t>
            </w:r>
            <w:r w:rsidRPr="003839EC">
              <w:rPr>
                <w:sz w:val="20"/>
                <w:szCs w:val="20"/>
              </w:rPr>
              <w:t xml:space="preserve"> process data from or about individuals who are residents of an </w:t>
            </w:r>
            <w:r w:rsidR="000B4B3B">
              <w:rPr>
                <w:sz w:val="20"/>
                <w:szCs w:val="20"/>
              </w:rPr>
              <w:t>EEA</w:t>
            </w:r>
            <w:r w:rsidRPr="003839EC">
              <w:rPr>
                <w:sz w:val="20"/>
                <w:szCs w:val="20"/>
              </w:rPr>
              <w:t xml:space="preserve"> member state</w:t>
            </w:r>
            <w:r w:rsidR="00D80987" w:rsidRPr="003839EC">
              <w:rPr>
                <w:sz w:val="20"/>
                <w:szCs w:val="20"/>
              </w:rPr>
              <w:t xml:space="preserve"> </w:t>
            </w:r>
            <w:r w:rsidR="00D80987" w:rsidRPr="003839EC">
              <w:rPr>
                <w:b w:val="0"/>
                <w:sz w:val="20"/>
                <w:szCs w:val="20"/>
              </w:rPr>
              <w:t>(</w:t>
            </w:r>
            <w:hyperlink r:id="rId8">
              <w:r w:rsidR="00D80987" w:rsidRPr="003839EC">
                <w:rPr>
                  <w:rStyle w:val="Hyperlink"/>
                  <w:b w:val="0"/>
                  <w:i/>
                  <w:iCs/>
                  <w:sz w:val="20"/>
                  <w:szCs w:val="20"/>
                </w:rPr>
                <w:t>GDPR Art 3</w:t>
              </w:r>
            </w:hyperlink>
            <w:r w:rsidR="00D80987" w:rsidRPr="003839EC">
              <w:rPr>
                <w:color w:val="333333"/>
                <w:sz w:val="20"/>
                <w:szCs w:val="20"/>
              </w:rPr>
              <w:t>)</w:t>
            </w:r>
            <w:r w:rsidR="00D80987" w:rsidRPr="003839EC">
              <w:rPr>
                <w:b w:val="0"/>
                <w:sz w:val="20"/>
                <w:szCs w:val="20"/>
              </w:rPr>
              <w:t xml:space="preserve">: </w:t>
            </w:r>
            <w:r w:rsidR="00360E76" w:rsidRPr="003839EC">
              <w:rPr>
                <w:b w:val="0"/>
                <w:sz w:val="20"/>
                <w:szCs w:val="20"/>
              </w:rPr>
              <w:t>The s</w:t>
            </w:r>
            <w:r w:rsidR="00D80987" w:rsidRPr="003839EC">
              <w:rPr>
                <w:b w:val="0"/>
                <w:sz w:val="20"/>
                <w:szCs w:val="20"/>
              </w:rPr>
              <w:t xml:space="preserve">tudy </w:t>
            </w:r>
            <w:r w:rsidR="00360E76" w:rsidRPr="003839EC">
              <w:rPr>
                <w:b w:val="0"/>
                <w:sz w:val="20"/>
                <w:szCs w:val="20"/>
              </w:rPr>
              <w:t>proposes to obtain</w:t>
            </w:r>
            <w:r w:rsidR="00D80987" w:rsidRPr="003839EC">
              <w:rPr>
                <w:b w:val="0"/>
                <w:sz w:val="20"/>
                <w:szCs w:val="20"/>
              </w:rPr>
              <w:t xml:space="preserve"> (intentionally or unintentionally)</w:t>
            </w:r>
            <w:r w:rsidR="00360E76" w:rsidRPr="003839EC">
              <w:rPr>
                <w:b w:val="0"/>
                <w:sz w:val="20"/>
                <w:szCs w:val="20"/>
              </w:rPr>
              <w:t xml:space="preserve"> identified or identifiable information from or about living individuals </w:t>
            </w:r>
            <w:r w:rsidR="00360E76" w:rsidRPr="003839EC">
              <w:rPr>
                <w:i/>
                <w:sz w:val="20"/>
                <w:szCs w:val="20"/>
              </w:rPr>
              <w:t>who reside</w:t>
            </w:r>
            <w:r w:rsidR="00D80987" w:rsidRPr="003839EC">
              <w:rPr>
                <w:b w:val="0"/>
                <w:sz w:val="20"/>
                <w:szCs w:val="20"/>
              </w:rPr>
              <w:t xml:space="preserve"> in </w:t>
            </w:r>
            <w:r w:rsidRPr="003839EC">
              <w:rPr>
                <w:b w:val="0"/>
                <w:sz w:val="20"/>
                <w:szCs w:val="20"/>
              </w:rPr>
              <w:t>an</w:t>
            </w:r>
            <w:r w:rsidR="00D80987" w:rsidRPr="003839EC">
              <w:rPr>
                <w:b w:val="0"/>
                <w:sz w:val="20"/>
                <w:szCs w:val="20"/>
              </w:rPr>
              <w:t xml:space="preserve"> </w:t>
            </w:r>
            <w:r w:rsidRPr="003839EC">
              <w:rPr>
                <w:b w:val="0"/>
                <w:sz w:val="20"/>
                <w:szCs w:val="20"/>
              </w:rPr>
              <w:t>EEA</w:t>
            </w:r>
            <w:r w:rsidR="00D80987" w:rsidRPr="003839EC">
              <w:rPr>
                <w:b w:val="0"/>
                <w:sz w:val="20"/>
                <w:szCs w:val="20"/>
              </w:rPr>
              <w:t xml:space="preserve"> </w:t>
            </w:r>
            <w:r w:rsidRPr="003839EC">
              <w:rPr>
                <w:b w:val="0"/>
                <w:sz w:val="20"/>
                <w:szCs w:val="20"/>
              </w:rPr>
              <w:t xml:space="preserve">member state </w:t>
            </w:r>
            <w:r w:rsidR="00D80987" w:rsidRPr="003839EC">
              <w:rPr>
                <w:b w:val="0"/>
                <w:sz w:val="20"/>
                <w:szCs w:val="20"/>
              </w:rPr>
              <w:t xml:space="preserve">at that moment their data is </w:t>
            </w:r>
            <w:r w:rsidR="00360E76" w:rsidRPr="003839EC">
              <w:rPr>
                <w:b w:val="0"/>
                <w:sz w:val="20"/>
                <w:szCs w:val="20"/>
              </w:rPr>
              <w:t>obtained</w:t>
            </w:r>
            <w:r w:rsidR="00836602" w:rsidRPr="003839EC">
              <w:rPr>
                <w:b w:val="0"/>
                <w:sz w:val="20"/>
                <w:szCs w:val="20"/>
              </w:rPr>
              <w:t xml:space="preserve">. </w:t>
            </w:r>
          </w:p>
          <w:p w14:paraId="522B2C60" w14:textId="77777777" w:rsidR="00836602" w:rsidRPr="003839EC" w:rsidRDefault="00836602" w:rsidP="00836602">
            <w:pPr>
              <w:pStyle w:val="ChecklistLevel1"/>
              <w:numPr>
                <w:ilvl w:val="0"/>
                <w:numId w:val="0"/>
              </w:numPr>
              <w:tabs>
                <w:tab w:val="clear" w:pos="360"/>
              </w:tabs>
              <w:ind w:left="382"/>
              <w:rPr>
                <w:b w:val="0"/>
                <w:sz w:val="20"/>
                <w:szCs w:val="20"/>
              </w:rPr>
            </w:pPr>
            <w:r w:rsidRPr="003839EC">
              <w:rPr>
                <w:color w:val="FF0000"/>
                <w:sz w:val="20"/>
                <w:szCs w:val="20"/>
              </w:rPr>
              <w:t>NOTE</w:t>
            </w:r>
            <w:r w:rsidRPr="00F102BC">
              <w:rPr>
                <w:bCs/>
                <w:color w:val="FF0000"/>
                <w:sz w:val="20"/>
                <w:szCs w:val="20"/>
              </w:rPr>
              <w:t>:</w:t>
            </w:r>
            <w:r w:rsidRPr="003839EC">
              <w:rPr>
                <w:b w:val="0"/>
                <w:sz w:val="20"/>
                <w:szCs w:val="20"/>
              </w:rPr>
              <w:t xml:space="preserve"> </w:t>
            </w:r>
            <w:r w:rsidR="00166275" w:rsidRPr="003839EC">
              <w:rPr>
                <w:b w:val="0"/>
                <w:sz w:val="20"/>
                <w:szCs w:val="20"/>
              </w:rPr>
              <w:t>GDPR</w:t>
            </w:r>
            <w:r w:rsidRPr="003839EC">
              <w:rPr>
                <w:b w:val="0"/>
                <w:sz w:val="20"/>
                <w:szCs w:val="20"/>
              </w:rPr>
              <w:t xml:space="preserve"> protects the data of individuals who reside in an EEA member state </w:t>
            </w:r>
            <w:r w:rsidR="00D80987" w:rsidRPr="003839EC">
              <w:rPr>
                <w:b w:val="0"/>
                <w:sz w:val="20"/>
                <w:szCs w:val="20"/>
                <w:u w:val="single"/>
              </w:rPr>
              <w:t>regardless of the</w:t>
            </w:r>
            <w:r w:rsidRPr="003839EC">
              <w:rPr>
                <w:b w:val="0"/>
                <w:sz w:val="20"/>
                <w:szCs w:val="20"/>
                <w:u w:val="single"/>
              </w:rPr>
              <w:t>ir</w:t>
            </w:r>
            <w:r w:rsidR="00D80987" w:rsidRPr="003839EC">
              <w:rPr>
                <w:b w:val="0"/>
                <w:sz w:val="20"/>
                <w:szCs w:val="20"/>
                <w:u w:val="single"/>
              </w:rPr>
              <w:t xml:space="preserve"> nationality, citizenship, or </w:t>
            </w:r>
            <w:r w:rsidRPr="003839EC">
              <w:rPr>
                <w:b w:val="0"/>
                <w:sz w:val="20"/>
                <w:szCs w:val="20"/>
                <w:u w:val="single"/>
              </w:rPr>
              <w:t>immigration</w:t>
            </w:r>
            <w:r w:rsidR="00D80987" w:rsidRPr="003839EC">
              <w:rPr>
                <w:b w:val="0"/>
                <w:sz w:val="20"/>
                <w:szCs w:val="20"/>
                <w:u w:val="single"/>
              </w:rPr>
              <w:t xml:space="preserve"> status</w:t>
            </w:r>
            <w:r w:rsidR="00D80987" w:rsidRPr="003839EC">
              <w:rPr>
                <w:b w:val="0"/>
                <w:sz w:val="20"/>
                <w:szCs w:val="20"/>
              </w:rPr>
              <w:t xml:space="preserve">. </w:t>
            </w:r>
          </w:p>
          <w:p w14:paraId="668CD7A0" w14:textId="6B05FD56" w:rsidR="00D80987" w:rsidRPr="003839EC" w:rsidRDefault="00F675CE" w:rsidP="00836602">
            <w:pPr>
              <w:pStyle w:val="ChecklistLevel1"/>
              <w:numPr>
                <w:ilvl w:val="0"/>
                <w:numId w:val="0"/>
              </w:numPr>
              <w:tabs>
                <w:tab w:val="clear" w:pos="360"/>
              </w:tabs>
              <w:ind w:left="382"/>
              <w:rPr>
                <w:b w:val="0"/>
                <w:sz w:val="20"/>
                <w:szCs w:val="20"/>
              </w:rPr>
            </w:pPr>
            <w:r w:rsidRPr="003839EC">
              <w:rPr>
                <w:color w:val="FF0000"/>
                <w:sz w:val="20"/>
                <w:szCs w:val="20"/>
              </w:rPr>
              <w:t>NOTE:</w:t>
            </w:r>
            <w:r w:rsidRPr="003839EC">
              <w:rPr>
                <w:b w:val="0"/>
                <w:sz w:val="20"/>
                <w:szCs w:val="20"/>
              </w:rPr>
              <w:t xml:space="preserve"> The regulation applies to </w:t>
            </w:r>
            <w:r w:rsidR="00360E76" w:rsidRPr="003839EC">
              <w:rPr>
                <w:b w:val="0"/>
                <w:sz w:val="20"/>
                <w:szCs w:val="20"/>
                <w:u w:val="single"/>
              </w:rPr>
              <w:t>any organization worldwide</w:t>
            </w:r>
            <w:r w:rsidR="00360E76" w:rsidRPr="003839EC">
              <w:rPr>
                <w:b w:val="0"/>
                <w:sz w:val="20"/>
                <w:szCs w:val="20"/>
              </w:rPr>
              <w:t xml:space="preserve"> which obtains or processes identified or identifiable data belonging to EEA residents.</w:t>
            </w:r>
          </w:p>
          <w:p w14:paraId="46C74716" w14:textId="13CA915C" w:rsidR="00D80987" w:rsidRPr="003839EC" w:rsidRDefault="00D80987" w:rsidP="00D80987">
            <w:pPr>
              <w:pStyle w:val="ChecklistLevel1"/>
              <w:numPr>
                <w:ilvl w:val="0"/>
                <w:numId w:val="0"/>
              </w:numPr>
              <w:ind w:left="360" w:hanging="360"/>
              <w:rPr>
                <w:sz w:val="20"/>
                <w:szCs w:val="20"/>
              </w:rPr>
            </w:pPr>
          </w:p>
          <w:tbl>
            <w:tblPr>
              <w:tblStyle w:val="TableGrid"/>
              <w:tblW w:w="5000" w:type="pct"/>
              <w:tblLook w:val="04A0" w:firstRow="1" w:lastRow="0" w:firstColumn="1" w:lastColumn="0" w:noHBand="0" w:noVBand="1"/>
            </w:tblPr>
            <w:tblGrid>
              <w:gridCol w:w="9806"/>
            </w:tblGrid>
            <w:tr w:rsidR="00D80987" w:rsidRPr="00F14760" w14:paraId="31886298" w14:textId="77777777" w:rsidTr="004E50B6">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B0E42" w14:textId="79ACC29F" w:rsidR="00D80987" w:rsidRPr="003839EC" w:rsidRDefault="00D80987" w:rsidP="00102920">
                  <w:pPr>
                    <w:framePr w:hSpace="180" w:wrap="around" w:vAnchor="text" w:hAnchor="text" w:y="1"/>
                    <w:suppressOverlap/>
                    <w:rPr>
                      <w:sz w:val="20"/>
                      <w:szCs w:val="20"/>
                    </w:rPr>
                  </w:pPr>
                  <w:r w:rsidRPr="00BC1062">
                    <w:rPr>
                      <w:b/>
                      <w:sz w:val="20"/>
                      <w:szCs w:val="20"/>
                    </w:rPr>
                    <w:t>European</w:t>
                  </w:r>
                  <w:r w:rsidRPr="003839EC">
                    <w:rPr>
                      <w:sz w:val="20"/>
                      <w:szCs w:val="20"/>
                    </w:rPr>
                    <w:t xml:space="preserve"> </w:t>
                  </w:r>
                  <w:r w:rsidRPr="00BC1062">
                    <w:rPr>
                      <w:b/>
                      <w:sz w:val="20"/>
                      <w:szCs w:val="20"/>
                    </w:rPr>
                    <w:t>Economic</w:t>
                  </w:r>
                  <w:r w:rsidRPr="003839EC">
                    <w:rPr>
                      <w:sz w:val="20"/>
                      <w:szCs w:val="20"/>
                    </w:rPr>
                    <w:t xml:space="preserve"> </w:t>
                  </w:r>
                  <w:r w:rsidRPr="00BC1062">
                    <w:rPr>
                      <w:b/>
                      <w:sz w:val="20"/>
                      <w:szCs w:val="20"/>
                    </w:rPr>
                    <w:t>Area (EEA)</w:t>
                  </w:r>
                  <w:r w:rsidRPr="003839EC">
                    <w:rPr>
                      <w:sz w:val="20"/>
                      <w:szCs w:val="20"/>
                    </w:rPr>
                    <w:t>:</w:t>
                  </w:r>
                  <w:r w:rsidR="007078AE" w:rsidRPr="003839EC">
                    <w:rPr>
                      <w:sz w:val="20"/>
                      <w:szCs w:val="20"/>
                    </w:rPr>
                    <w:t xml:space="preserve"> </w:t>
                  </w:r>
                  <w:r w:rsidR="17DAB861" w:rsidRPr="003839EC">
                    <w:rPr>
                      <w:sz w:val="20"/>
                      <w:szCs w:val="20"/>
                    </w:rPr>
                    <w:t>The EEA includes European Union (EU) countries and Iceland, Liechtenstein and Norway.</w:t>
                  </w:r>
                </w:p>
                <w:p w14:paraId="113EBFAF" w14:textId="2E6940EC" w:rsidR="00D80987" w:rsidRPr="003839EC" w:rsidRDefault="00D80987" w:rsidP="00102920">
                  <w:pPr>
                    <w:pStyle w:val="ChecklistLevel1"/>
                    <w:framePr w:hSpace="180" w:wrap="around" w:vAnchor="text" w:hAnchor="text" w:y="1"/>
                    <w:numPr>
                      <w:ilvl w:val="0"/>
                      <w:numId w:val="0"/>
                    </w:numPr>
                    <w:tabs>
                      <w:tab w:val="clear" w:pos="360"/>
                    </w:tabs>
                    <w:suppressOverlap/>
                    <w:rPr>
                      <w:bCs/>
                      <w:sz w:val="20"/>
                      <w:szCs w:val="20"/>
                    </w:rPr>
                  </w:pPr>
                </w:p>
                <w:p w14:paraId="2A1276C2" w14:textId="5267FC0B" w:rsidR="00D80987" w:rsidRPr="003839EC" w:rsidRDefault="17DAB861" w:rsidP="00102920">
                  <w:pPr>
                    <w:pStyle w:val="ChecklistLevel1"/>
                    <w:framePr w:hSpace="180" w:wrap="around" w:vAnchor="text" w:hAnchor="text" w:y="1"/>
                    <w:numPr>
                      <w:ilvl w:val="0"/>
                      <w:numId w:val="0"/>
                    </w:numPr>
                    <w:tabs>
                      <w:tab w:val="clear" w:pos="360"/>
                    </w:tabs>
                    <w:suppressOverlap/>
                    <w:rPr>
                      <w:sz w:val="20"/>
                      <w:szCs w:val="20"/>
                      <w:shd w:val="clear" w:color="auto" w:fill="F2F2F2" w:themeFill="background1" w:themeFillShade="F2"/>
                    </w:rPr>
                  </w:pPr>
                  <w:r w:rsidRPr="003839EC">
                    <w:rPr>
                      <w:bCs/>
                      <w:sz w:val="20"/>
                      <w:szCs w:val="20"/>
                      <w:shd w:val="clear" w:color="auto" w:fill="F2F2F2" w:themeFill="background1" w:themeFillShade="F2"/>
                    </w:rPr>
                    <w:t>EEA Member Countries</w:t>
                  </w:r>
                  <w:r w:rsidRPr="003839EC">
                    <w:rPr>
                      <w:b w:val="0"/>
                      <w:sz w:val="20"/>
                      <w:szCs w:val="20"/>
                      <w:shd w:val="clear" w:color="auto" w:fill="F2F2F2" w:themeFill="background1" w:themeFillShade="F2"/>
                    </w:rPr>
                    <w:t xml:space="preserve">: </w:t>
                  </w:r>
                  <w:r w:rsidR="00D80987" w:rsidRPr="003839EC">
                    <w:rPr>
                      <w:b w:val="0"/>
                      <w:sz w:val="20"/>
                      <w:szCs w:val="20"/>
                      <w:shd w:val="clear" w:color="auto" w:fill="F2F2F2" w:themeFill="background1" w:themeFillShade="F2"/>
                    </w:rPr>
                    <w:t>Austria</w:t>
                  </w:r>
                  <w:r w:rsidR="00D80987" w:rsidRPr="003839EC">
                    <w:rPr>
                      <w:b w:val="0"/>
                      <w:sz w:val="20"/>
                      <w:szCs w:val="20"/>
                    </w:rPr>
                    <w:t xml:space="preserve">, Belgium, Bulgaria, Croatia, Republic of Cyprus, Czech Republic, Denmark, Estonia, Finland, France, Germany, Greece, Hungary, Ireland, Italy, Latvia, Lithuania, Luxembourg, Malta, Netherlands, Poland, Portugal, Romania, Slovakia, Slovenia, Spain and Sweden. Also, Iceland, Liechtenstein and Norway. Switzerland </w:t>
                  </w:r>
                  <w:r w:rsidR="1AC20DB7" w:rsidRPr="003839EC">
                    <w:rPr>
                      <w:b w:val="0"/>
                      <w:sz w:val="20"/>
                      <w:szCs w:val="20"/>
                    </w:rPr>
                    <w:t xml:space="preserve">and the </w:t>
                  </w:r>
                  <w:r w:rsidR="00D80987" w:rsidRPr="003839EC">
                    <w:rPr>
                      <w:b w:val="0"/>
                      <w:sz w:val="20"/>
                      <w:szCs w:val="20"/>
                    </w:rPr>
                    <w:t xml:space="preserve">UK </w:t>
                  </w:r>
                  <w:r w:rsidR="360FE3D3" w:rsidRPr="003839EC">
                    <w:rPr>
                      <w:b w:val="0"/>
                      <w:sz w:val="20"/>
                      <w:szCs w:val="20"/>
                    </w:rPr>
                    <w:t>are</w:t>
                  </w:r>
                  <w:r w:rsidR="00D80987" w:rsidRPr="003839EC">
                    <w:rPr>
                      <w:b w:val="0"/>
                      <w:sz w:val="20"/>
                      <w:szCs w:val="20"/>
                    </w:rPr>
                    <w:t xml:space="preserve"> not </w:t>
                  </w:r>
                  <w:r w:rsidR="00F102BC" w:rsidRPr="003839EC">
                    <w:rPr>
                      <w:b w:val="0"/>
                      <w:sz w:val="20"/>
                      <w:szCs w:val="20"/>
                    </w:rPr>
                    <w:t>member</w:t>
                  </w:r>
                  <w:r w:rsidR="00F102BC">
                    <w:rPr>
                      <w:b w:val="0"/>
                      <w:sz w:val="20"/>
                      <w:szCs w:val="20"/>
                    </w:rPr>
                    <w:t>s</w:t>
                  </w:r>
                  <w:r w:rsidR="00D80987" w:rsidRPr="003839EC">
                    <w:rPr>
                      <w:b w:val="0"/>
                      <w:sz w:val="20"/>
                      <w:szCs w:val="20"/>
                    </w:rPr>
                    <w:t xml:space="preserve"> of the EEA or EU</w:t>
                  </w:r>
                  <w:r w:rsidR="6A2A800A" w:rsidRPr="003839EC">
                    <w:rPr>
                      <w:b w:val="0"/>
                      <w:sz w:val="20"/>
                      <w:szCs w:val="20"/>
                    </w:rPr>
                    <w:t xml:space="preserve"> but ha</w:t>
                  </w:r>
                  <w:r w:rsidR="706C5201" w:rsidRPr="003839EC">
                    <w:rPr>
                      <w:b w:val="0"/>
                      <w:sz w:val="20"/>
                      <w:szCs w:val="20"/>
                    </w:rPr>
                    <w:t>ve</w:t>
                  </w:r>
                  <w:r w:rsidR="6A2A800A" w:rsidRPr="003839EC">
                    <w:rPr>
                      <w:b w:val="0"/>
                      <w:sz w:val="20"/>
                      <w:szCs w:val="20"/>
                    </w:rPr>
                    <w:t xml:space="preserve"> similar data protection regulations</w:t>
                  </w:r>
                  <w:r w:rsidR="00D80987" w:rsidRPr="003839EC">
                    <w:rPr>
                      <w:b w:val="0"/>
                      <w:sz w:val="20"/>
                      <w:szCs w:val="20"/>
                    </w:rPr>
                    <w:t>.</w:t>
                  </w:r>
                </w:p>
                <w:p w14:paraId="2162B2B7" w14:textId="77777777" w:rsidR="00D80987" w:rsidRPr="003839EC" w:rsidRDefault="00D80987" w:rsidP="00102920">
                  <w:pPr>
                    <w:pStyle w:val="ChecklistLevel1"/>
                    <w:framePr w:hSpace="180" w:wrap="around" w:vAnchor="text" w:hAnchor="text" w:y="1"/>
                    <w:numPr>
                      <w:ilvl w:val="0"/>
                      <w:numId w:val="0"/>
                    </w:numPr>
                    <w:tabs>
                      <w:tab w:val="clear" w:pos="360"/>
                    </w:tabs>
                    <w:ind w:left="360" w:hanging="360"/>
                    <w:suppressOverlap/>
                    <w:rPr>
                      <w:b w:val="0"/>
                      <w:sz w:val="20"/>
                      <w:szCs w:val="20"/>
                    </w:rPr>
                  </w:pPr>
                </w:p>
                <w:p w14:paraId="626EDFD5" w14:textId="77777777" w:rsidR="00D80987" w:rsidRPr="003839EC" w:rsidRDefault="00D80987" w:rsidP="00102920">
                  <w:pPr>
                    <w:pStyle w:val="ChecklistLevel1"/>
                    <w:framePr w:hSpace="180" w:wrap="around" w:vAnchor="text" w:hAnchor="text" w:y="1"/>
                    <w:numPr>
                      <w:ilvl w:val="0"/>
                      <w:numId w:val="0"/>
                    </w:numPr>
                    <w:tabs>
                      <w:tab w:val="clear" w:pos="360"/>
                    </w:tabs>
                    <w:suppressOverlap/>
                    <w:rPr>
                      <w:b w:val="0"/>
                      <w:sz w:val="20"/>
                      <w:szCs w:val="20"/>
                    </w:rPr>
                  </w:pPr>
                  <w:r w:rsidRPr="003839EC">
                    <w:rPr>
                      <w:b w:val="0"/>
                      <w:sz w:val="20"/>
                      <w:szCs w:val="20"/>
                    </w:rPr>
                    <w:t xml:space="preserve">There are </w:t>
                  </w:r>
                  <w:r w:rsidRPr="003839EC">
                    <w:rPr>
                      <w:sz w:val="20"/>
                      <w:szCs w:val="20"/>
                    </w:rPr>
                    <w:t>dependent territories/countries</w:t>
                  </w:r>
                  <w:r w:rsidRPr="003839EC">
                    <w:rPr>
                      <w:b w:val="0"/>
                      <w:sz w:val="20"/>
                      <w:szCs w:val="20"/>
                    </w:rPr>
                    <w:t xml:space="preserve"> that are technically in the EU though not in Europe that are governed by GDPR, some of these include: Azores, Canary Islands, Guadeloupe, French Guiana, Madeira, Martinique, Mayotte, Reunion, and Saint Martin and others. Make sure to check if a location is a territory of a country located in the EEA.</w:t>
                  </w:r>
                </w:p>
                <w:p w14:paraId="528DE7E9" w14:textId="77777777" w:rsidR="00D80987" w:rsidRPr="003839EC" w:rsidRDefault="00D80987" w:rsidP="00102920">
                  <w:pPr>
                    <w:pStyle w:val="ChecklistLevel1"/>
                    <w:framePr w:hSpace="180" w:wrap="around" w:vAnchor="text" w:hAnchor="text" w:y="1"/>
                    <w:numPr>
                      <w:ilvl w:val="0"/>
                      <w:numId w:val="0"/>
                    </w:numPr>
                    <w:tabs>
                      <w:tab w:val="clear" w:pos="360"/>
                    </w:tabs>
                    <w:ind w:left="-15"/>
                    <w:suppressOverlap/>
                    <w:rPr>
                      <w:b w:val="0"/>
                      <w:sz w:val="20"/>
                      <w:szCs w:val="20"/>
                    </w:rPr>
                  </w:pPr>
                </w:p>
                <w:p w14:paraId="2906C750" w14:textId="6FAE3D25" w:rsidR="00D80987" w:rsidRPr="003839EC" w:rsidRDefault="00D80987" w:rsidP="00102920">
                  <w:pPr>
                    <w:pStyle w:val="ChecklistLevel1"/>
                    <w:framePr w:hSpace="180" w:wrap="around" w:vAnchor="text" w:hAnchor="text" w:y="1"/>
                    <w:numPr>
                      <w:ilvl w:val="0"/>
                      <w:numId w:val="0"/>
                    </w:numPr>
                    <w:tabs>
                      <w:tab w:val="clear" w:pos="360"/>
                    </w:tabs>
                    <w:ind w:left="-15"/>
                    <w:suppressOverlap/>
                    <w:rPr>
                      <w:b w:val="0"/>
                      <w:sz w:val="20"/>
                      <w:szCs w:val="20"/>
                    </w:rPr>
                  </w:pPr>
                  <w:r w:rsidRPr="003839EC">
                    <w:rPr>
                      <w:sz w:val="20"/>
                      <w:szCs w:val="20"/>
                    </w:rPr>
                    <w:t>Brexit and GDPR Regulations 202</w:t>
                  </w:r>
                  <w:r w:rsidR="00341CB9">
                    <w:rPr>
                      <w:sz w:val="20"/>
                      <w:szCs w:val="20"/>
                    </w:rPr>
                    <w:t>1</w:t>
                  </w:r>
                  <w:r w:rsidRPr="003839EC">
                    <w:rPr>
                      <w:sz w:val="20"/>
                      <w:szCs w:val="20"/>
                    </w:rPr>
                    <w:t xml:space="preserve">: </w:t>
                  </w:r>
                  <w:r w:rsidR="00341CB9">
                    <w:rPr>
                      <w:b w:val="0"/>
                      <w:sz w:val="20"/>
                      <w:szCs w:val="20"/>
                    </w:rPr>
                    <w:t>The United Kingdom (UK)</w:t>
                  </w:r>
                  <w:r w:rsidRPr="003839EC">
                    <w:rPr>
                      <w:b w:val="0"/>
                      <w:sz w:val="20"/>
                      <w:szCs w:val="20"/>
                    </w:rPr>
                    <w:t xml:space="preserve"> left the EU in </w:t>
                  </w:r>
                  <w:r w:rsidR="00B90456">
                    <w:rPr>
                      <w:b w:val="0"/>
                      <w:sz w:val="20"/>
                      <w:szCs w:val="20"/>
                    </w:rPr>
                    <w:t>Dec</w:t>
                  </w:r>
                  <w:r w:rsidR="00B90456" w:rsidRPr="003839EC">
                    <w:rPr>
                      <w:b w:val="0"/>
                      <w:sz w:val="20"/>
                      <w:szCs w:val="20"/>
                    </w:rPr>
                    <w:t xml:space="preserve"> 202</w:t>
                  </w:r>
                  <w:r w:rsidR="00B90456">
                    <w:rPr>
                      <w:b w:val="0"/>
                      <w:sz w:val="20"/>
                      <w:szCs w:val="20"/>
                    </w:rPr>
                    <w:t>0</w:t>
                  </w:r>
                  <w:r w:rsidR="00B90456" w:rsidRPr="003839EC">
                    <w:rPr>
                      <w:b w:val="0"/>
                      <w:sz w:val="20"/>
                      <w:szCs w:val="20"/>
                    </w:rPr>
                    <w:t xml:space="preserve"> and</w:t>
                  </w:r>
                  <w:r w:rsidRPr="003839EC">
                    <w:rPr>
                      <w:b w:val="0"/>
                      <w:sz w:val="20"/>
                      <w:szCs w:val="20"/>
                    </w:rPr>
                    <w:t xml:space="preserve"> is no longer considered a Member State.  </w:t>
                  </w:r>
                  <w:r w:rsidR="009314EC">
                    <w:rPr>
                      <w:b w:val="0"/>
                      <w:sz w:val="20"/>
                      <w:szCs w:val="20"/>
                    </w:rPr>
                    <w:t xml:space="preserve">The </w:t>
                  </w:r>
                  <w:r w:rsidR="00341CB9" w:rsidRPr="00341CB9">
                    <w:rPr>
                      <w:b w:val="0"/>
                      <w:sz w:val="20"/>
                      <w:szCs w:val="20"/>
                    </w:rPr>
                    <w:t>UK has already agreed that GDPR will be absorbed into UK domestic law as part of the European (Withdrawal) Agreement</w:t>
                  </w:r>
                  <w:r w:rsidR="00341CB9">
                    <w:rPr>
                      <w:b w:val="0"/>
                      <w:sz w:val="20"/>
                      <w:szCs w:val="20"/>
                    </w:rPr>
                    <w:t xml:space="preserve">. </w:t>
                  </w:r>
                  <w:r w:rsidR="00BD7F1F">
                    <w:rPr>
                      <w:b w:val="0"/>
                      <w:sz w:val="20"/>
                      <w:szCs w:val="20"/>
                    </w:rPr>
                    <w:t xml:space="preserve">GDPR compliance </w:t>
                  </w:r>
                  <w:r w:rsidR="009314EC">
                    <w:rPr>
                      <w:b w:val="0"/>
                      <w:sz w:val="20"/>
                      <w:szCs w:val="20"/>
                    </w:rPr>
                    <w:t xml:space="preserve">for the UK </w:t>
                  </w:r>
                  <w:r w:rsidR="00BD7F1F">
                    <w:rPr>
                      <w:b w:val="0"/>
                      <w:sz w:val="20"/>
                      <w:szCs w:val="20"/>
                    </w:rPr>
                    <w:t>will continue to be required for all past and present research studies.</w:t>
                  </w:r>
                </w:p>
                <w:p w14:paraId="33029EDF" w14:textId="77777777" w:rsidR="00D80987" w:rsidRPr="003839EC" w:rsidRDefault="00D80987" w:rsidP="00102920">
                  <w:pPr>
                    <w:pStyle w:val="ChecklistLevel1"/>
                    <w:framePr w:hSpace="180" w:wrap="around" w:vAnchor="text" w:hAnchor="text" w:y="1"/>
                    <w:numPr>
                      <w:ilvl w:val="0"/>
                      <w:numId w:val="0"/>
                    </w:numPr>
                    <w:suppressOverlap/>
                    <w:rPr>
                      <w:sz w:val="20"/>
                      <w:szCs w:val="20"/>
                    </w:rPr>
                  </w:pPr>
                </w:p>
                <w:p w14:paraId="3187605B" w14:textId="58D69F0D" w:rsidR="00D80987" w:rsidRPr="00A97C89" w:rsidRDefault="00360E76" w:rsidP="00102920">
                  <w:pPr>
                    <w:pStyle w:val="ChecklistLevel1"/>
                    <w:framePr w:hSpace="180" w:wrap="around" w:vAnchor="text" w:hAnchor="text" w:y="1"/>
                    <w:numPr>
                      <w:ilvl w:val="0"/>
                      <w:numId w:val="0"/>
                    </w:numPr>
                    <w:suppressOverlap/>
                    <w:rPr>
                      <w:sz w:val="20"/>
                      <w:szCs w:val="20"/>
                    </w:rPr>
                  </w:pPr>
                  <w:r w:rsidRPr="003839EC">
                    <w:rPr>
                      <w:color w:val="FF0000"/>
                      <w:sz w:val="20"/>
                      <w:szCs w:val="20"/>
                    </w:rPr>
                    <w:t>NOTE:</w:t>
                  </w:r>
                  <w:r w:rsidRPr="003839EC">
                    <w:rPr>
                      <w:sz w:val="20"/>
                      <w:szCs w:val="20"/>
                    </w:rPr>
                    <w:t xml:space="preserve"> GDPR </w:t>
                  </w:r>
                  <w:r w:rsidRPr="003839EC">
                    <w:rPr>
                      <w:b w:val="0"/>
                      <w:sz w:val="20"/>
                      <w:szCs w:val="20"/>
                    </w:rPr>
                    <w:t xml:space="preserve">applies to </w:t>
                  </w:r>
                  <w:r w:rsidR="00D80987" w:rsidRPr="003839EC">
                    <w:rPr>
                      <w:b w:val="0"/>
                      <w:sz w:val="20"/>
                      <w:szCs w:val="20"/>
                    </w:rPr>
                    <w:t>research conducted</w:t>
                  </w:r>
                  <w:r w:rsidR="00E42B97">
                    <w:rPr>
                      <w:b w:val="0"/>
                      <w:sz w:val="20"/>
                      <w:szCs w:val="20"/>
                    </w:rPr>
                    <w:t xml:space="preserve"> with or about EEA residents</w:t>
                  </w:r>
                  <w:r w:rsidR="00D80987" w:rsidRPr="003839EC">
                    <w:rPr>
                      <w:b w:val="0"/>
                      <w:sz w:val="20"/>
                      <w:szCs w:val="20"/>
                    </w:rPr>
                    <w:t xml:space="preserve"> </w:t>
                  </w:r>
                  <w:r w:rsidR="00D80987" w:rsidRPr="003839EC">
                    <w:rPr>
                      <w:sz w:val="20"/>
                      <w:szCs w:val="20"/>
                    </w:rPr>
                    <w:t xml:space="preserve">on-board </w:t>
                  </w:r>
                  <w:r w:rsidR="00F50936" w:rsidRPr="003839EC">
                    <w:rPr>
                      <w:sz w:val="20"/>
                      <w:szCs w:val="20"/>
                    </w:rPr>
                    <w:t>vessels</w:t>
                  </w:r>
                  <w:r w:rsidR="00D80987" w:rsidRPr="003839EC">
                    <w:rPr>
                      <w:b w:val="0"/>
                      <w:sz w:val="20"/>
                      <w:szCs w:val="20"/>
                    </w:rPr>
                    <w:t xml:space="preserve"> registered to EEA Countries at the time of data collection which travel in international waters</w:t>
                  </w:r>
                  <w:r w:rsidR="00F50936" w:rsidRPr="003839EC">
                    <w:rPr>
                      <w:b w:val="0"/>
                      <w:sz w:val="20"/>
                      <w:szCs w:val="20"/>
                    </w:rPr>
                    <w:t xml:space="preserve"> or airspace</w:t>
                  </w:r>
                  <w:r w:rsidR="00D80987" w:rsidRPr="003839EC">
                    <w:rPr>
                      <w:b w:val="0"/>
                      <w:sz w:val="20"/>
                      <w:szCs w:val="20"/>
                    </w:rPr>
                    <w:t xml:space="preserve"> </w:t>
                  </w:r>
                  <w:r w:rsidR="00D80987" w:rsidRPr="003839EC">
                    <w:rPr>
                      <w:b w:val="0"/>
                      <w:i/>
                      <w:iCs/>
                      <w:sz w:val="20"/>
                      <w:szCs w:val="20"/>
                    </w:rPr>
                    <w:t>(</w:t>
                  </w:r>
                  <w:hyperlink r:id="rId9" w:history="1">
                    <w:r w:rsidR="00D80987" w:rsidRPr="003839EC">
                      <w:rPr>
                        <w:rStyle w:val="Hyperlink"/>
                        <w:b w:val="0"/>
                        <w:i/>
                        <w:iCs/>
                        <w:sz w:val="20"/>
                        <w:szCs w:val="20"/>
                      </w:rPr>
                      <w:t>GDPR Article 3.3)</w:t>
                    </w:r>
                  </w:hyperlink>
                  <w:r w:rsidR="00D80987" w:rsidRPr="003839EC">
                    <w:rPr>
                      <w:b w:val="0"/>
                      <w:i/>
                      <w:iCs/>
                      <w:sz w:val="20"/>
                      <w:szCs w:val="20"/>
                    </w:rPr>
                    <w:t>.</w:t>
                  </w:r>
                </w:p>
              </w:tc>
            </w:tr>
          </w:tbl>
          <w:p w14:paraId="2309B7C1" w14:textId="047A62A2" w:rsidR="00D80987" w:rsidRPr="00F14760" w:rsidRDefault="00D80987" w:rsidP="00D80987">
            <w:pPr>
              <w:pStyle w:val="ChecklistLevel1"/>
              <w:numPr>
                <w:ilvl w:val="0"/>
                <w:numId w:val="0"/>
              </w:numPr>
              <w:tabs>
                <w:tab w:val="clear" w:pos="360"/>
              </w:tabs>
              <w:rPr>
                <w:b w:val="0"/>
                <w:sz w:val="22"/>
                <w:szCs w:val="22"/>
              </w:rPr>
            </w:pPr>
            <w:r w:rsidRPr="00F14760">
              <w:rPr>
                <w:b w:val="0"/>
                <w:sz w:val="22"/>
                <w:szCs w:val="22"/>
              </w:rPr>
              <w:t xml:space="preserve"> </w:t>
            </w:r>
          </w:p>
        </w:tc>
      </w:tr>
      <w:tr w:rsidR="00D80987" w:rsidRPr="004A3863" w14:paraId="1F1DE6CD" w14:textId="77777777" w:rsidTr="39F83F6F">
        <w:trPr>
          <w:trHeight w:val="402"/>
        </w:trPr>
        <w:tc>
          <w:tcPr>
            <w:tcW w:w="406" w:type="dxa"/>
            <w:tcBorders>
              <w:top w:val="single" w:sz="2" w:space="0" w:color="auto"/>
              <w:bottom w:val="single" w:sz="2" w:space="0" w:color="auto"/>
            </w:tcBorders>
          </w:tcPr>
          <w:p w14:paraId="0795A4F5" w14:textId="6AF4EFD4" w:rsidR="00D80987" w:rsidRDefault="00D80987" w:rsidP="00A97B16">
            <w:pPr>
              <w:pStyle w:val="ChecklistLevel1"/>
              <w:numPr>
                <w:ilvl w:val="0"/>
                <w:numId w:val="0"/>
              </w:numPr>
              <w:ind w:left="250" w:hanging="250"/>
              <w:jc w:val="center"/>
              <w:rPr>
                <w:iCs/>
                <w:sz w:val="22"/>
                <w:szCs w:val="22"/>
              </w:rPr>
            </w:pPr>
            <w:r w:rsidRPr="004A3863">
              <w:rPr>
                <w:rFonts w:ascii="Segoe UI Symbol" w:eastAsia="MS Gothic" w:hAnsi="Segoe UI Symbol" w:cs="Segoe UI Symbol"/>
                <w:b w:val="0"/>
                <w:sz w:val="22"/>
                <w:szCs w:val="22"/>
              </w:rPr>
              <w:t>☐</w:t>
            </w:r>
          </w:p>
        </w:tc>
        <w:tc>
          <w:tcPr>
            <w:tcW w:w="10032" w:type="dxa"/>
            <w:gridSpan w:val="2"/>
            <w:tcBorders>
              <w:top w:val="single" w:sz="2" w:space="0" w:color="auto"/>
              <w:bottom w:val="single" w:sz="2" w:space="0" w:color="auto"/>
            </w:tcBorders>
          </w:tcPr>
          <w:p w14:paraId="3C754EA9" w14:textId="6F4947E3" w:rsidR="00836602" w:rsidRDefault="00360E76" w:rsidP="00836602">
            <w:pPr>
              <w:pStyle w:val="ChecklistLevel1"/>
              <w:numPr>
                <w:ilvl w:val="0"/>
                <w:numId w:val="24"/>
              </w:numPr>
              <w:ind w:left="360"/>
              <w:jc w:val="both"/>
              <w:rPr>
                <w:sz w:val="20"/>
                <w:szCs w:val="20"/>
              </w:rPr>
            </w:pPr>
            <w:r>
              <w:rPr>
                <w:sz w:val="20"/>
                <w:szCs w:val="20"/>
              </w:rPr>
              <w:t xml:space="preserve">The research plans to obtain </w:t>
            </w:r>
            <w:r w:rsidR="00F102BC" w:rsidRPr="005B5EDD">
              <w:rPr>
                <w:sz w:val="20"/>
                <w:szCs w:val="20"/>
                <w:u w:val="single"/>
              </w:rPr>
              <w:t>or</w:t>
            </w:r>
            <w:r>
              <w:rPr>
                <w:sz w:val="20"/>
                <w:szCs w:val="20"/>
              </w:rPr>
              <w:t xml:space="preserve"> process </w:t>
            </w:r>
            <w:r w:rsidR="00D80987" w:rsidRPr="2423E19A">
              <w:rPr>
                <w:b w:val="0"/>
                <w:sz w:val="20"/>
                <w:szCs w:val="20"/>
              </w:rPr>
              <w:t>“</w:t>
            </w:r>
            <w:r w:rsidR="00D80987" w:rsidRPr="2423E19A">
              <w:rPr>
                <w:sz w:val="20"/>
                <w:szCs w:val="20"/>
              </w:rPr>
              <w:t>Personal Data”</w:t>
            </w:r>
            <w:r w:rsidR="00D42951">
              <w:rPr>
                <w:sz w:val="20"/>
                <w:szCs w:val="20"/>
              </w:rPr>
              <w:t xml:space="preserve"> or </w:t>
            </w:r>
            <w:r w:rsidR="00D80987" w:rsidRPr="2423E19A">
              <w:rPr>
                <w:b w:val="0"/>
                <w:sz w:val="20"/>
                <w:szCs w:val="20"/>
              </w:rPr>
              <w:t>“</w:t>
            </w:r>
            <w:r w:rsidR="00D80987" w:rsidRPr="2423E19A">
              <w:rPr>
                <w:sz w:val="20"/>
                <w:szCs w:val="20"/>
              </w:rPr>
              <w:t>Special Category Data”</w:t>
            </w:r>
            <w:r w:rsidR="00D42951">
              <w:rPr>
                <w:sz w:val="20"/>
                <w:szCs w:val="20"/>
              </w:rPr>
              <w:t xml:space="preserve"> </w:t>
            </w:r>
            <w:r w:rsidR="00F102BC">
              <w:rPr>
                <w:sz w:val="20"/>
                <w:szCs w:val="20"/>
              </w:rPr>
              <w:t xml:space="preserve">(as </w:t>
            </w:r>
            <w:r w:rsidR="00D42951">
              <w:rPr>
                <w:sz w:val="20"/>
                <w:szCs w:val="20"/>
              </w:rPr>
              <w:t>defined by GDPR</w:t>
            </w:r>
            <w:r w:rsidR="00F102BC">
              <w:rPr>
                <w:sz w:val="20"/>
                <w:szCs w:val="20"/>
              </w:rPr>
              <w:t>),</w:t>
            </w:r>
            <w:r w:rsidR="00D42951">
              <w:rPr>
                <w:sz w:val="20"/>
                <w:szCs w:val="20"/>
              </w:rPr>
              <w:t xml:space="preserve"> or biospecimens</w:t>
            </w:r>
            <w:r w:rsidR="00755D1F">
              <w:rPr>
                <w:sz w:val="20"/>
                <w:szCs w:val="20"/>
              </w:rPr>
              <w:t xml:space="preserve">. </w:t>
            </w:r>
          </w:p>
          <w:p w14:paraId="38E48692" w14:textId="7B8DB6F9" w:rsidR="00D80987" w:rsidRPr="00755D1F" w:rsidRDefault="00836602" w:rsidP="00836602">
            <w:pPr>
              <w:pStyle w:val="ChecklistLevel1"/>
              <w:numPr>
                <w:ilvl w:val="0"/>
                <w:numId w:val="0"/>
              </w:numPr>
              <w:ind w:left="360" w:hanging="360"/>
              <w:jc w:val="both"/>
              <w:rPr>
                <w:b w:val="0"/>
                <w:sz w:val="20"/>
                <w:szCs w:val="20"/>
              </w:rPr>
            </w:pPr>
            <w:r>
              <w:rPr>
                <w:color w:val="FF0000"/>
                <w:sz w:val="20"/>
                <w:szCs w:val="20"/>
              </w:rPr>
              <w:t xml:space="preserve">        </w:t>
            </w:r>
            <w:r w:rsidR="00755D1F" w:rsidRPr="00836602">
              <w:rPr>
                <w:color w:val="FF0000"/>
                <w:sz w:val="20"/>
                <w:szCs w:val="20"/>
              </w:rPr>
              <w:t>NOTE</w:t>
            </w:r>
            <w:r w:rsidR="00755D1F" w:rsidRPr="005B5EDD">
              <w:rPr>
                <w:sz w:val="20"/>
                <w:szCs w:val="20"/>
              </w:rPr>
              <w:t>:</w:t>
            </w:r>
            <w:r w:rsidR="00755D1F">
              <w:rPr>
                <w:b w:val="0"/>
                <w:sz w:val="20"/>
                <w:szCs w:val="20"/>
              </w:rPr>
              <w:t xml:space="preserve"> Read carefully the definitions of key terms provided below as GDPR </w:t>
            </w:r>
            <w:r w:rsidR="00755D1F" w:rsidRPr="00755D1F">
              <w:rPr>
                <w:b w:val="0"/>
                <w:sz w:val="20"/>
                <w:szCs w:val="20"/>
                <w:u w:val="single"/>
              </w:rPr>
              <w:t>does not</w:t>
            </w:r>
            <w:r w:rsidR="00755D1F">
              <w:rPr>
                <w:b w:val="0"/>
                <w:sz w:val="20"/>
                <w:szCs w:val="20"/>
              </w:rPr>
              <w:t xml:space="preserve"> define key terms in the same fashion as the U.S.</w:t>
            </w:r>
            <w:r>
              <w:rPr>
                <w:b w:val="0"/>
                <w:sz w:val="20"/>
                <w:szCs w:val="20"/>
              </w:rPr>
              <w:t xml:space="preserve"> GDPR is broader and covers/protects information not covered by HIPAA or usual U.S. traditions around use of data in research.</w:t>
            </w:r>
            <w:r w:rsidR="00755D1F">
              <w:rPr>
                <w:b w:val="0"/>
                <w:sz w:val="20"/>
                <w:szCs w:val="20"/>
              </w:rPr>
              <w:t xml:space="preserve"> </w:t>
            </w:r>
          </w:p>
          <w:p w14:paraId="16A3B8CE" w14:textId="21F57554" w:rsidR="00D80987" w:rsidRDefault="00D80987" w:rsidP="00312321">
            <w:pPr>
              <w:pStyle w:val="ChecklistLevel1"/>
              <w:numPr>
                <w:ilvl w:val="0"/>
                <w:numId w:val="0"/>
              </w:numPr>
              <w:jc w:val="both"/>
              <w:rPr>
                <w:b w:val="0"/>
                <w:sz w:val="20"/>
                <w:szCs w:val="20"/>
              </w:rPr>
            </w:pPr>
          </w:p>
          <w:tbl>
            <w:tblPr>
              <w:tblStyle w:val="TableGrid"/>
              <w:tblW w:w="0" w:type="auto"/>
              <w:tblLook w:val="04A0" w:firstRow="1" w:lastRow="0" w:firstColumn="1" w:lastColumn="0" w:noHBand="0" w:noVBand="1"/>
            </w:tblPr>
            <w:tblGrid>
              <w:gridCol w:w="9806"/>
            </w:tblGrid>
            <w:tr w:rsidR="00D80987" w14:paraId="2AA8F751" w14:textId="77777777" w:rsidTr="39F83F6F">
              <w:tc>
                <w:tcPr>
                  <w:tcW w:w="9806" w:type="dxa"/>
                  <w:shd w:val="clear" w:color="auto" w:fill="F2F2F2" w:themeFill="background1" w:themeFillShade="F2"/>
                </w:tcPr>
                <w:p w14:paraId="4356947B" w14:textId="730A6665" w:rsidR="00D42951" w:rsidRPr="00F46843" w:rsidRDefault="00D80987" w:rsidP="00102920">
                  <w:pPr>
                    <w:framePr w:hSpace="180" w:wrap="around" w:vAnchor="text" w:hAnchor="text" w:y="1"/>
                    <w:suppressOverlap/>
                    <w:rPr>
                      <w:b/>
                      <w:bCs/>
                      <w:sz w:val="20"/>
                      <w:szCs w:val="20"/>
                    </w:rPr>
                  </w:pPr>
                  <w:r w:rsidRPr="39F83F6F">
                    <w:rPr>
                      <w:b/>
                      <w:bCs/>
                      <w:sz w:val="20"/>
                      <w:szCs w:val="20"/>
                    </w:rPr>
                    <w:t>“Personal Data”</w:t>
                  </w:r>
                  <w:r w:rsidRPr="39F83F6F">
                    <w:rPr>
                      <w:sz w:val="20"/>
                      <w:szCs w:val="20"/>
                    </w:rPr>
                    <w:t xml:space="preserve"> (</w:t>
                  </w:r>
                  <w:hyperlink r:id="rId10">
                    <w:r w:rsidRPr="39F83F6F">
                      <w:rPr>
                        <w:rStyle w:val="Hyperlink"/>
                        <w:sz w:val="20"/>
                        <w:szCs w:val="20"/>
                      </w:rPr>
                      <w:t>GDPR Art 4.1</w:t>
                    </w:r>
                  </w:hyperlink>
                  <w:r w:rsidRPr="39F83F6F">
                    <w:rPr>
                      <w:sz w:val="20"/>
                      <w:szCs w:val="20"/>
                    </w:rPr>
                    <w:t xml:space="preserve">) </w:t>
                  </w:r>
                  <w:r w:rsidR="00F102BC" w:rsidRPr="39F83F6F">
                    <w:rPr>
                      <w:sz w:val="20"/>
                      <w:szCs w:val="20"/>
                    </w:rPr>
                    <w:t>–</w:t>
                  </w:r>
                  <w:r w:rsidRPr="39F83F6F">
                    <w:rPr>
                      <w:sz w:val="20"/>
                      <w:szCs w:val="20"/>
                    </w:rPr>
                    <w:t xml:space="preserve"> </w:t>
                  </w:r>
                  <w:r w:rsidR="00F102BC" w:rsidRPr="39F83F6F">
                    <w:rPr>
                      <w:sz w:val="20"/>
                      <w:szCs w:val="20"/>
                    </w:rPr>
                    <w:t xml:space="preserve">is any </w:t>
                  </w:r>
                  <w:r w:rsidRPr="39F83F6F">
                    <w:rPr>
                      <w:sz w:val="20"/>
                      <w:szCs w:val="20"/>
                    </w:rPr>
                    <w:t xml:space="preserve">information that relates to an identified or identifiable living individual. Different pieces of information, which collected together </w:t>
                  </w:r>
                  <w:r w:rsidR="00E42B97" w:rsidRPr="39F83F6F">
                    <w:rPr>
                      <w:sz w:val="20"/>
                      <w:szCs w:val="20"/>
                    </w:rPr>
                    <w:t xml:space="preserve">or </w:t>
                  </w:r>
                  <w:r w:rsidRPr="39F83F6F">
                    <w:rPr>
                      <w:sz w:val="20"/>
                      <w:szCs w:val="20"/>
                    </w:rPr>
                    <w:t>can lead to the identification of a particular person, also constitute personal data.</w:t>
                  </w:r>
                  <w:r w:rsidR="005B5EDD" w:rsidRPr="39F83F6F">
                    <w:rPr>
                      <w:b/>
                      <w:bCs/>
                      <w:sz w:val="20"/>
                      <w:szCs w:val="20"/>
                    </w:rPr>
                    <w:t xml:space="preserve"> </w:t>
                  </w:r>
                  <w:r w:rsidR="002E03AF" w:rsidRPr="39F83F6F">
                    <w:rPr>
                      <w:b/>
                      <w:bCs/>
                      <w:sz w:val="20"/>
                      <w:szCs w:val="20"/>
                    </w:rPr>
                    <w:t xml:space="preserve">           </w:t>
                  </w:r>
                  <w:r w:rsidR="005B5EDD" w:rsidRPr="39F83F6F">
                    <w:rPr>
                      <w:b/>
                      <w:bCs/>
                      <w:color w:val="FF0000"/>
                      <w:sz w:val="20"/>
                      <w:szCs w:val="20"/>
                    </w:rPr>
                    <w:t>NOTE:</w:t>
                  </w:r>
                  <w:r w:rsidR="005B5EDD" w:rsidRPr="39F83F6F">
                    <w:rPr>
                      <w:b/>
                      <w:bCs/>
                      <w:sz w:val="20"/>
                      <w:szCs w:val="20"/>
                    </w:rPr>
                    <w:t xml:space="preserve"> </w:t>
                  </w:r>
                  <w:r w:rsidR="005B5EDD" w:rsidRPr="39F83F6F">
                    <w:rPr>
                      <w:sz w:val="20"/>
                      <w:szCs w:val="20"/>
                    </w:rPr>
                    <w:t xml:space="preserve">GDPR </w:t>
                  </w:r>
                  <w:r w:rsidR="005B5EDD" w:rsidRPr="39F83F6F">
                    <w:rPr>
                      <w:b/>
                      <w:bCs/>
                      <w:sz w:val="20"/>
                      <w:szCs w:val="20"/>
                      <w:u w:val="single"/>
                    </w:rPr>
                    <w:t>applies</w:t>
                  </w:r>
                  <w:r w:rsidR="005B5EDD" w:rsidRPr="39F83F6F">
                    <w:rPr>
                      <w:sz w:val="20"/>
                      <w:szCs w:val="20"/>
                    </w:rPr>
                    <w:t xml:space="preserve"> to data that the U.S. would otherwise consider ‘de-identified’</w:t>
                  </w:r>
                  <w:r w:rsidR="00F102BC" w:rsidRPr="39F83F6F">
                    <w:rPr>
                      <w:sz w:val="20"/>
                      <w:szCs w:val="20"/>
                    </w:rPr>
                    <w:t xml:space="preserve"> </w:t>
                  </w:r>
                  <w:r w:rsidR="005B5EDD" w:rsidRPr="39F83F6F">
                    <w:rPr>
                      <w:sz w:val="20"/>
                      <w:szCs w:val="20"/>
                    </w:rPr>
                    <w:t xml:space="preserve">by some pseudonymizing scheme, such as ‘key-coding’.  </w:t>
                  </w:r>
                  <w:r w:rsidR="00BC1062" w:rsidRPr="39F83F6F">
                    <w:rPr>
                      <w:sz w:val="20"/>
                      <w:szCs w:val="20"/>
                      <w:u w:val="single"/>
                    </w:rPr>
                    <w:t xml:space="preserve">See Section 2c below for the definition of </w:t>
                  </w:r>
                  <w:r w:rsidR="00BC1062" w:rsidRPr="39F83F6F">
                    <w:rPr>
                      <w:b/>
                      <w:bCs/>
                      <w:sz w:val="20"/>
                      <w:szCs w:val="20"/>
                      <w:u w:val="single"/>
                    </w:rPr>
                    <w:t>pseudonymization</w:t>
                  </w:r>
                  <w:r w:rsidR="004E50B6" w:rsidRPr="004E50B6">
                    <w:rPr>
                      <w:b/>
                      <w:bCs/>
                      <w:sz w:val="20"/>
                      <w:szCs w:val="20"/>
                    </w:rPr>
                    <w:t xml:space="preserve"> </w:t>
                  </w:r>
                  <w:r w:rsidR="00E42B97" w:rsidRPr="004E50B6">
                    <w:rPr>
                      <w:sz w:val="20"/>
                      <w:szCs w:val="20"/>
                    </w:rPr>
                    <w:t>(</w:t>
                  </w:r>
                  <w:hyperlink r:id="rId11" w:history="1">
                    <w:r w:rsidR="00E42B97" w:rsidRPr="004E50B6">
                      <w:rPr>
                        <w:rStyle w:val="Hyperlink"/>
                        <w:sz w:val="20"/>
                        <w:szCs w:val="20"/>
                      </w:rPr>
                      <w:t xml:space="preserve">GDPR </w:t>
                    </w:r>
                    <w:r w:rsidR="005B5EDD" w:rsidRPr="004E50B6">
                      <w:rPr>
                        <w:rStyle w:val="Hyperlink"/>
                        <w:sz w:val="20"/>
                        <w:szCs w:val="20"/>
                      </w:rPr>
                      <w:t>Article 4(5)</w:t>
                    </w:r>
                    <w:r w:rsidR="00E42B97" w:rsidRPr="004E50B6">
                      <w:rPr>
                        <w:rStyle w:val="Hyperlink"/>
                        <w:sz w:val="20"/>
                        <w:szCs w:val="20"/>
                      </w:rPr>
                      <w:t xml:space="preserve"> and Article 29 Working Party Opinion 05/2014</w:t>
                    </w:r>
                  </w:hyperlink>
                  <w:r w:rsidR="00E42B97" w:rsidRPr="004E50B6">
                    <w:rPr>
                      <w:sz w:val="20"/>
                      <w:szCs w:val="20"/>
                    </w:rPr>
                    <w:t>).</w:t>
                  </w:r>
                  <w:r w:rsidR="005B5EDD" w:rsidRPr="39F83F6F">
                    <w:rPr>
                      <w:sz w:val="20"/>
                      <w:szCs w:val="20"/>
                    </w:rPr>
                    <w:t xml:space="preserve"> </w:t>
                  </w:r>
                </w:p>
                <w:p w14:paraId="107B690A" w14:textId="77777777" w:rsidR="00D80987" w:rsidRDefault="00D80987" w:rsidP="00102920">
                  <w:pPr>
                    <w:pStyle w:val="ChecklistLevel1"/>
                    <w:framePr w:hSpace="180" w:wrap="around" w:vAnchor="text" w:hAnchor="text" w:y="1"/>
                    <w:numPr>
                      <w:ilvl w:val="0"/>
                      <w:numId w:val="0"/>
                    </w:numPr>
                    <w:ind w:left="360" w:hanging="360"/>
                    <w:suppressOverlap/>
                    <w:jc w:val="both"/>
                    <w:rPr>
                      <w:b w:val="0"/>
                      <w:sz w:val="20"/>
                      <w:szCs w:val="20"/>
                    </w:rPr>
                  </w:pPr>
                </w:p>
                <w:p w14:paraId="044F8750" w14:textId="01066BC7" w:rsidR="00D80987" w:rsidRDefault="00D80987" w:rsidP="00102920">
                  <w:pPr>
                    <w:pStyle w:val="ChecklistLevel1"/>
                    <w:framePr w:hSpace="180" w:wrap="around" w:vAnchor="text" w:hAnchor="text" w:y="1"/>
                    <w:numPr>
                      <w:ilvl w:val="0"/>
                      <w:numId w:val="0"/>
                    </w:numPr>
                    <w:tabs>
                      <w:tab w:val="clear" w:pos="360"/>
                    </w:tabs>
                    <w:suppressOverlap/>
                    <w:jc w:val="both"/>
                    <w:rPr>
                      <w:b w:val="0"/>
                      <w:sz w:val="20"/>
                      <w:szCs w:val="20"/>
                    </w:rPr>
                  </w:pPr>
                  <w:r w:rsidRPr="2423E19A">
                    <w:rPr>
                      <w:b w:val="0"/>
                      <w:sz w:val="20"/>
                      <w:szCs w:val="20"/>
                    </w:rPr>
                    <w:t>“</w:t>
                  </w:r>
                  <w:r w:rsidRPr="2423E19A">
                    <w:rPr>
                      <w:sz w:val="20"/>
                      <w:szCs w:val="20"/>
                    </w:rPr>
                    <w:t>Special Category Data”</w:t>
                  </w:r>
                  <w:r w:rsidRPr="2423E19A">
                    <w:rPr>
                      <w:b w:val="0"/>
                      <w:sz w:val="20"/>
                      <w:szCs w:val="20"/>
                    </w:rPr>
                    <w:t xml:space="preserve"> (</w:t>
                  </w:r>
                  <w:hyperlink r:id="rId12">
                    <w:r w:rsidRPr="2423E19A">
                      <w:rPr>
                        <w:rStyle w:val="Hyperlink"/>
                        <w:b w:val="0"/>
                        <w:sz w:val="20"/>
                        <w:szCs w:val="20"/>
                      </w:rPr>
                      <w:t>GDPR Art. 9</w:t>
                    </w:r>
                  </w:hyperlink>
                  <w:r w:rsidRPr="2423E19A">
                    <w:rPr>
                      <w:b w:val="0"/>
                      <w:sz w:val="20"/>
                      <w:szCs w:val="20"/>
                    </w:rPr>
                    <w:t xml:space="preserve">) - </w:t>
                  </w:r>
                  <w:r w:rsidR="4C48FCD0" w:rsidRPr="2423E19A">
                    <w:rPr>
                      <w:b w:val="0"/>
                      <w:sz w:val="20"/>
                      <w:szCs w:val="20"/>
                    </w:rPr>
                    <w:t>s</w:t>
                  </w:r>
                  <w:r w:rsidRPr="2423E19A">
                    <w:rPr>
                      <w:b w:val="0"/>
                      <w:sz w:val="20"/>
                      <w:szCs w:val="20"/>
                    </w:rPr>
                    <w:t>ensitive personal information which merits greater data security protections, such as data revealing racial or ethnic origin, political opinions, religious beliefs, data concerning health, a person's sex life or sexual orientation, or genetic or biometric data that is processed for the purpose of uniquely identifying an individual.</w:t>
                  </w:r>
                  <w:r w:rsidR="005B5EDD">
                    <w:rPr>
                      <w:b w:val="0"/>
                      <w:sz w:val="20"/>
                      <w:szCs w:val="20"/>
                    </w:rPr>
                    <w:t xml:space="preserve"> </w:t>
                  </w:r>
                </w:p>
                <w:p w14:paraId="6E6159C0" w14:textId="27BD1E41" w:rsidR="00D42951" w:rsidRDefault="00D42951" w:rsidP="00102920">
                  <w:pPr>
                    <w:pStyle w:val="ChecklistLevel1"/>
                    <w:framePr w:hSpace="180" w:wrap="around" w:vAnchor="text" w:hAnchor="text" w:y="1"/>
                    <w:numPr>
                      <w:ilvl w:val="0"/>
                      <w:numId w:val="0"/>
                    </w:numPr>
                    <w:tabs>
                      <w:tab w:val="clear" w:pos="360"/>
                    </w:tabs>
                    <w:suppressOverlap/>
                    <w:jc w:val="both"/>
                    <w:rPr>
                      <w:b w:val="0"/>
                      <w:sz w:val="20"/>
                      <w:szCs w:val="20"/>
                    </w:rPr>
                  </w:pPr>
                </w:p>
                <w:p w14:paraId="1D3E5A3D" w14:textId="448B33ED" w:rsidR="00D42951" w:rsidRPr="00F46843" w:rsidRDefault="00D42951" w:rsidP="00102920">
                  <w:pPr>
                    <w:pStyle w:val="ChecklistLevel1"/>
                    <w:framePr w:hSpace="180" w:wrap="around" w:vAnchor="text" w:hAnchor="text" w:y="1"/>
                    <w:numPr>
                      <w:ilvl w:val="0"/>
                      <w:numId w:val="0"/>
                    </w:numPr>
                    <w:tabs>
                      <w:tab w:val="clear" w:pos="360"/>
                    </w:tabs>
                    <w:suppressOverlap/>
                    <w:jc w:val="both"/>
                    <w:rPr>
                      <w:b w:val="0"/>
                      <w:sz w:val="20"/>
                      <w:szCs w:val="20"/>
                    </w:rPr>
                  </w:pPr>
                  <w:r w:rsidRPr="003839EC">
                    <w:rPr>
                      <w:sz w:val="20"/>
                      <w:szCs w:val="20"/>
                    </w:rPr>
                    <w:t>Biospecimens</w:t>
                  </w:r>
                  <w:r>
                    <w:rPr>
                      <w:b w:val="0"/>
                      <w:sz w:val="20"/>
                      <w:szCs w:val="20"/>
                    </w:rPr>
                    <w:t>—</w:t>
                  </w:r>
                  <w:r w:rsidR="003839EC">
                    <w:rPr>
                      <w:b w:val="0"/>
                      <w:sz w:val="20"/>
                      <w:szCs w:val="20"/>
                    </w:rPr>
                    <w:t xml:space="preserve">material collected from the human body—are </w:t>
                  </w:r>
                  <w:r w:rsidR="00BC1062">
                    <w:rPr>
                      <w:b w:val="0"/>
                      <w:sz w:val="20"/>
                      <w:szCs w:val="20"/>
                    </w:rPr>
                    <w:t>considered to contain</w:t>
                  </w:r>
                  <w:r>
                    <w:rPr>
                      <w:b w:val="0"/>
                      <w:sz w:val="20"/>
                      <w:szCs w:val="20"/>
                    </w:rPr>
                    <w:t xml:space="preserve"> </w:t>
                  </w:r>
                  <w:r w:rsidRPr="003B6C02">
                    <w:rPr>
                      <w:bCs/>
                      <w:sz w:val="20"/>
                      <w:szCs w:val="20"/>
                      <w:u w:val="single"/>
                    </w:rPr>
                    <w:t>personal data</w:t>
                  </w:r>
                  <w:r>
                    <w:rPr>
                      <w:b w:val="0"/>
                      <w:sz w:val="20"/>
                      <w:szCs w:val="20"/>
                    </w:rPr>
                    <w:t xml:space="preserve"> relating to an identified or identifiable natural person (</w:t>
                  </w:r>
                  <w:hyperlink r:id="rId13" w:history="1">
                    <w:r w:rsidRPr="004E50B6">
                      <w:rPr>
                        <w:rStyle w:val="Hyperlink"/>
                        <w:b w:val="0"/>
                        <w:sz w:val="20"/>
                        <w:szCs w:val="20"/>
                      </w:rPr>
                      <w:t>GDPR Art. 2</w:t>
                    </w:r>
                  </w:hyperlink>
                  <w:r w:rsidRPr="004E50B6">
                    <w:rPr>
                      <w:b w:val="0"/>
                      <w:sz w:val="20"/>
                      <w:szCs w:val="20"/>
                    </w:rPr>
                    <w:t>)</w:t>
                  </w:r>
                  <w:r>
                    <w:rPr>
                      <w:b w:val="0"/>
                      <w:sz w:val="20"/>
                      <w:szCs w:val="20"/>
                    </w:rPr>
                    <w:t xml:space="preserve"> as DNA</w:t>
                  </w:r>
                  <w:r w:rsidR="00BC1062">
                    <w:rPr>
                      <w:b w:val="0"/>
                      <w:sz w:val="20"/>
                      <w:szCs w:val="20"/>
                    </w:rPr>
                    <w:t>, intrinsic to biospecimens,</w:t>
                  </w:r>
                  <w:r>
                    <w:rPr>
                      <w:b w:val="0"/>
                      <w:sz w:val="20"/>
                      <w:szCs w:val="20"/>
                    </w:rPr>
                    <w:t xml:space="preserve"> is a unique code that will always link to only one person</w:t>
                  </w:r>
                  <w:r w:rsidR="003839EC">
                    <w:rPr>
                      <w:b w:val="0"/>
                      <w:sz w:val="20"/>
                      <w:szCs w:val="20"/>
                    </w:rPr>
                    <w:t xml:space="preserve">. </w:t>
                  </w:r>
                </w:p>
                <w:p w14:paraId="763663B8" w14:textId="21590740" w:rsidR="007078AE" w:rsidRDefault="007078AE" w:rsidP="00102920">
                  <w:pPr>
                    <w:pStyle w:val="ChecklistLevel1"/>
                    <w:framePr w:hSpace="180" w:wrap="around" w:vAnchor="text" w:hAnchor="text" w:y="1"/>
                    <w:numPr>
                      <w:ilvl w:val="0"/>
                      <w:numId w:val="0"/>
                    </w:numPr>
                    <w:suppressOverlap/>
                    <w:jc w:val="both"/>
                    <w:rPr>
                      <w:b w:val="0"/>
                      <w:sz w:val="20"/>
                      <w:szCs w:val="20"/>
                    </w:rPr>
                  </w:pPr>
                </w:p>
                <w:p w14:paraId="16ED5A2C" w14:textId="71073743" w:rsidR="006929C6" w:rsidRPr="004E50B6" w:rsidRDefault="48CB7327" w:rsidP="00102920">
                  <w:pPr>
                    <w:framePr w:hSpace="180" w:wrap="around" w:vAnchor="text" w:hAnchor="text" w:y="1"/>
                    <w:spacing w:line="259" w:lineRule="auto"/>
                    <w:suppressOverlap/>
                  </w:pPr>
                  <w:r w:rsidRPr="2423E19A">
                    <w:rPr>
                      <w:b/>
                      <w:bCs/>
                      <w:sz w:val="20"/>
                      <w:szCs w:val="20"/>
                    </w:rPr>
                    <w:t>Processing</w:t>
                  </w:r>
                  <w:r w:rsidR="4A676C8E" w:rsidRPr="2423E19A">
                    <w:rPr>
                      <w:sz w:val="20"/>
                      <w:szCs w:val="20"/>
                    </w:rPr>
                    <w:t xml:space="preserve"> (</w:t>
                  </w:r>
                  <w:hyperlink r:id="rId14" w:history="1">
                    <w:r w:rsidR="4A676C8E" w:rsidRPr="004E50B6">
                      <w:rPr>
                        <w:rStyle w:val="Hyperlink"/>
                        <w:sz w:val="20"/>
                        <w:szCs w:val="20"/>
                      </w:rPr>
                      <w:t>GDPR Article 4</w:t>
                    </w:r>
                    <w:r w:rsidR="23E87161" w:rsidRPr="004E50B6">
                      <w:rPr>
                        <w:rStyle w:val="Hyperlink"/>
                        <w:sz w:val="20"/>
                        <w:szCs w:val="20"/>
                      </w:rPr>
                      <w:t>.</w:t>
                    </w:r>
                    <w:r w:rsidR="4A676C8E" w:rsidRPr="004E50B6">
                      <w:rPr>
                        <w:rStyle w:val="Hyperlink"/>
                        <w:sz w:val="20"/>
                        <w:szCs w:val="20"/>
                      </w:rPr>
                      <w:t>2</w:t>
                    </w:r>
                  </w:hyperlink>
                  <w:r w:rsidR="4A676C8E" w:rsidRPr="004E50B6">
                    <w:rPr>
                      <w:sz w:val="20"/>
                      <w:szCs w:val="20"/>
                    </w:rPr>
                    <w:t>)</w:t>
                  </w:r>
                  <w:r w:rsidR="42C628FC" w:rsidRPr="2423E19A">
                    <w:rPr>
                      <w:sz w:val="20"/>
                      <w:szCs w:val="20"/>
                    </w:rPr>
                    <w:t>:</w:t>
                  </w:r>
                  <w:r w:rsidR="5F48E696" w:rsidRPr="2423E19A">
                    <w:rPr>
                      <w:sz w:val="20"/>
                      <w:szCs w:val="20"/>
                    </w:rPr>
                    <w:t xml:space="preserve"> “...</w:t>
                  </w:r>
                  <w:r w:rsidR="5BAF38B9" w:rsidRPr="2423E19A">
                    <w:rPr>
                      <w:sz w:val="20"/>
                      <w:szCs w:val="20"/>
                    </w:rPr>
                    <w:t>means any operation or set of operations which is performed on personal data or on sets of personal data, whether or not by automated means [...]"</w:t>
                  </w:r>
                  <w:r w:rsidR="00A97C89">
                    <w:rPr>
                      <w:sz w:val="20"/>
                      <w:szCs w:val="20"/>
                    </w:rPr>
                    <w:t xml:space="preserve">. </w:t>
                  </w:r>
                  <w:proofErr w:type="gramStart"/>
                  <w:r w:rsidR="5D4CF5D5" w:rsidRPr="2423E19A">
                    <w:rPr>
                      <w:sz w:val="20"/>
                      <w:szCs w:val="20"/>
                    </w:rPr>
                    <w:t>An</w:t>
                  </w:r>
                  <w:proofErr w:type="gramEnd"/>
                  <w:r w:rsidR="5D4CF5D5" w:rsidRPr="2423E19A">
                    <w:rPr>
                      <w:sz w:val="20"/>
                      <w:szCs w:val="20"/>
                    </w:rPr>
                    <w:t xml:space="preserve"> </w:t>
                  </w:r>
                  <w:r w:rsidR="5BAF38B9" w:rsidRPr="2423E19A">
                    <w:rPr>
                      <w:sz w:val="20"/>
                      <w:szCs w:val="20"/>
                    </w:rPr>
                    <w:t>non-exhaustive series of examples</w:t>
                  </w:r>
                  <w:r w:rsidR="027F9925" w:rsidRPr="2423E19A">
                    <w:rPr>
                      <w:sz w:val="20"/>
                      <w:szCs w:val="20"/>
                    </w:rPr>
                    <w:t xml:space="preserve"> include: </w:t>
                  </w:r>
                  <w:r w:rsidR="5BAF38B9" w:rsidRPr="2423E19A">
                    <w:rPr>
                      <w:sz w:val="20"/>
                      <w:szCs w:val="20"/>
                    </w:rPr>
                    <w:t xml:space="preserve"> "collection, recording, </w:t>
                  </w:r>
                  <w:r w:rsidR="71F6D680" w:rsidRPr="2423E19A">
                    <w:rPr>
                      <w:sz w:val="20"/>
                      <w:szCs w:val="20"/>
                    </w:rPr>
                    <w:t>organization</w:t>
                  </w:r>
                  <w:r w:rsidR="5BAF38B9" w:rsidRPr="2423E19A">
                    <w:rPr>
                      <w:sz w:val="20"/>
                      <w:szCs w:val="20"/>
                    </w:rPr>
                    <w:t xml:space="preserve">, structuring, storage, adaptation or alteration, retrieval, consultation, use, disclosure by transmission, dissemination or </w:t>
                  </w:r>
                  <w:r w:rsidR="5BAF38B9" w:rsidRPr="2423E19A">
                    <w:rPr>
                      <w:sz w:val="20"/>
                      <w:szCs w:val="20"/>
                    </w:rPr>
                    <w:lastRenderedPageBreak/>
                    <w:t>otherwise making available, alignment or combination, restriction, erasure or destruction"</w:t>
                  </w:r>
                  <w:r w:rsidR="00755D1F">
                    <w:rPr>
                      <w:sz w:val="20"/>
                      <w:szCs w:val="20"/>
                    </w:rPr>
                    <w:t xml:space="preserve">. </w:t>
                  </w:r>
                  <w:r w:rsidR="00755D1F" w:rsidRPr="008269B5">
                    <w:rPr>
                      <w:b/>
                      <w:color w:val="FF0000"/>
                      <w:sz w:val="20"/>
                      <w:szCs w:val="20"/>
                    </w:rPr>
                    <w:t>NOTE:</w:t>
                  </w:r>
                  <w:r w:rsidR="00755D1F">
                    <w:rPr>
                      <w:sz w:val="20"/>
                      <w:szCs w:val="20"/>
                    </w:rPr>
                    <w:t xml:space="preserve"> </w:t>
                  </w:r>
                  <w:r w:rsidR="004E1021">
                    <w:rPr>
                      <w:sz w:val="20"/>
                      <w:szCs w:val="20"/>
                    </w:rPr>
                    <w:t xml:space="preserve">Researchers who receive identified or identifiable data collected by other organizations to analyze, process or store in some way, </w:t>
                  </w:r>
                  <w:r w:rsidR="008269B5">
                    <w:rPr>
                      <w:sz w:val="20"/>
                      <w:szCs w:val="20"/>
                    </w:rPr>
                    <w:t xml:space="preserve">are considered </w:t>
                  </w:r>
                  <w:r w:rsidR="00113129">
                    <w:rPr>
                      <w:sz w:val="20"/>
                      <w:szCs w:val="20"/>
                    </w:rPr>
                    <w:t>P</w:t>
                  </w:r>
                  <w:r w:rsidR="008269B5">
                    <w:rPr>
                      <w:sz w:val="20"/>
                      <w:szCs w:val="20"/>
                    </w:rPr>
                    <w:t>rocessors and, as such, must</w:t>
                  </w:r>
                  <w:r w:rsidR="004E1021">
                    <w:rPr>
                      <w:sz w:val="20"/>
                      <w:szCs w:val="20"/>
                    </w:rPr>
                    <w:t xml:space="preserve"> comply with the requirements of GDPR. </w:t>
                  </w:r>
                </w:p>
              </w:tc>
            </w:tr>
          </w:tbl>
          <w:p w14:paraId="12E610C4" w14:textId="4CE88D4A" w:rsidR="00EE477D" w:rsidRPr="00F46843" w:rsidRDefault="00EE477D" w:rsidP="00D80987">
            <w:pPr>
              <w:pStyle w:val="ChecklistLevel1"/>
              <w:numPr>
                <w:ilvl w:val="0"/>
                <w:numId w:val="0"/>
              </w:numPr>
              <w:tabs>
                <w:tab w:val="clear" w:pos="360"/>
              </w:tabs>
              <w:jc w:val="both"/>
              <w:rPr>
                <w:b w:val="0"/>
                <w:sz w:val="22"/>
                <w:szCs w:val="22"/>
              </w:rPr>
            </w:pPr>
          </w:p>
        </w:tc>
      </w:tr>
      <w:tr w:rsidR="00113129" w:rsidRPr="004A3863" w14:paraId="3747C5BA" w14:textId="77777777" w:rsidTr="39F83F6F">
        <w:trPr>
          <w:trHeight w:val="52"/>
        </w:trPr>
        <w:tc>
          <w:tcPr>
            <w:tcW w:w="10438" w:type="dxa"/>
            <w:gridSpan w:val="3"/>
            <w:tcBorders>
              <w:top w:val="single" w:sz="2" w:space="0" w:color="auto"/>
            </w:tcBorders>
          </w:tcPr>
          <w:p w14:paraId="46654D00" w14:textId="77777777" w:rsidR="00113129" w:rsidRPr="00113129" w:rsidRDefault="00113129" w:rsidP="00113129">
            <w:pPr>
              <w:rPr>
                <w:b/>
                <w:bCs/>
                <w:i/>
                <w:iCs/>
                <w:sz w:val="20"/>
                <w:szCs w:val="20"/>
              </w:rPr>
            </w:pPr>
          </w:p>
        </w:tc>
      </w:tr>
      <w:tr w:rsidR="007078AE" w:rsidRPr="004A3863" w14:paraId="7D5358A8" w14:textId="77777777" w:rsidTr="000958E4">
        <w:trPr>
          <w:trHeight w:val="362"/>
        </w:trPr>
        <w:tc>
          <w:tcPr>
            <w:tcW w:w="10438" w:type="dxa"/>
            <w:gridSpan w:val="3"/>
            <w:tcBorders>
              <w:top w:val="single" w:sz="2" w:space="0" w:color="auto"/>
            </w:tcBorders>
            <w:vAlign w:val="center"/>
          </w:tcPr>
          <w:p w14:paraId="115B7991" w14:textId="2615DC3D" w:rsidR="007078AE" w:rsidRPr="00113129" w:rsidRDefault="005E2188" w:rsidP="000958E4">
            <w:pPr>
              <w:pStyle w:val="ListParagraph"/>
              <w:numPr>
                <w:ilvl w:val="0"/>
                <w:numId w:val="19"/>
              </w:numPr>
              <w:rPr>
                <w:b/>
                <w:bCs/>
                <w:i/>
                <w:iCs/>
                <w:sz w:val="20"/>
                <w:szCs w:val="20"/>
              </w:rPr>
            </w:pPr>
            <w:r w:rsidRPr="000958E4">
              <w:rPr>
                <w:b/>
                <w:bCs/>
                <w:sz w:val="22"/>
                <w:szCs w:val="22"/>
              </w:rPr>
              <w:t>When Does GDPR Not Apply</w:t>
            </w:r>
            <w:r w:rsidR="008269B5" w:rsidRPr="000958E4">
              <w:rPr>
                <w:b/>
                <w:bCs/>
                <w:sz w:val="22"/>
                <w:szCs w:val="22"/>
              </w:rPr>
              <w:t>:</w:t>
            </w:r>
            <w:r w:rsidR="008269B5" w:rsidRPr="000958E4">
              <w:rPr>
                <w:b/>
                <w:bCs/>
                <w:i/>
                <w:iCs/>
                <w:sz w:val="22"/>
                <w:szCs w:val="22"/>
              </w:rPr>
              <w:t xml:space="preserve"> </w:t>
            </w:r>
            <w:r w:rsidR="008269B5" w:rsidRPr="000958E4">
              <w:rPr>
                <w:bCs/>
                <w:iCs/>
                <w:sz w:val="22"/>
                <w:szCs w:val="22"/>
              </w:rPr>
              <w:t xml:space="preserve">Compliance with GDPR is not required if </w:t>
            </w:r>
            <w:r w:rsidR="003B6C02" w:rsidRPr="000958E4">
              <w:rPr>
                <w:bCs/>
                <w:iCs/>
                <w:sz w:val="22"/>
                <w:szCs w:val="22"/>
              </w:rPr>
              <w:t xml:space="preserve">any of the following </w:t>
            </w:r>
            <w:r w:rsidR="008269B5" w:rsidRPr="000958E4">
              <w:rPr>
                <w:bCs/>
                <w:iCs/>
                <w:sz w:val="22"/>
                <w:szCs w:val="22"/>
              </w:rPr>
              <w:t>apply to the research:</w:t>
            </w:r>
          </w:p>
        </w:tc>
      </w:tr>
      <w:tr w:rsidR="00572DD0" w:rsidRPr="004A3863" w14:paraId="16EFAAA4" w14:textId="77777777" w:rsidTr="39F83F6F">
        <w:trPr>
          <w:trHeight w:val="37"/>
        </w:trPr>
        <w:tc>
          <w:tcPr>
            <w:tcW w:w="445" w:type="dxa"/>
            <w:gridSpan w:val="2"/>
            <w:tcBorders>
              <w:top w:val="single" w:sz="2" w:space="0" w:color="auto"/>
              <w:bottom w:val="single" w:sz="2" w:space="0" w:color="auto"/>
            </w:tcBorders>
          </w:tcPr>
          <w:p w14:paraId="07388733" w14:textId="1B3C45E8" w:rsidR="00572DD0" w:rsidRPr="00572DD0" w:rsidRDefault="00572DD0" w:rsidP="00572DD0">
            <w:pPr>
              <w:pStyle w:val="ChecklistLevel1"/>
              <w:numPr>
                <w:ilvl w:val="0"/>
                <w:numId w:val="0"/>
              </w:numPr>
              <w:rPr>
                <w:sz w:val="22"/>
                <w:szCs w:val="22"/>
              </w:rPr>
            </w:pPr>
            <w:r w:rsidRPr="2423E19A">
              <w:rPr>
                <w:rFonts w:ascii="Segoe UI Symbol" w:eastAsia="MS Gothic" w:hAnsi="Segoe UI Symbol" w:cs="Segoe UI Symbol"/>
                <w:b w:val="0"/>
                <w:sz w:val="22"/>
                <w:szCs w:val="22"/>
              </w:rPr>
              <w:t>☐</w:t>
            </w:r>
          </w:p>
        </w:tc>
        <w:tc>
          <w:tcPr>
            <w:tcW w:w="9993" w:type="dxa"/>
            <w:tcBorders>
              <w:top w:val="single" w:sz="2" w:space="0" w:color="auto"/>
              <w:bottom w:val="single" w:sz="2" w:space="0" w:color="auto"/>
            </w:tcBorders>
            <w:vAlign w:val="center"/>
          </w:tcPr>
          <w:p w14:paraId="1EA7658E" w14:textId="4292281C" w:rsidR="00572DD0" w:rsidRPr="003B6C02" w:rsidRDefault="00572DD0" w:rsidP="003B6C02">
            <w:pPr>
              <w:rPr>
                <w:sz w:val="20"/>
                <w:szCs w:val="20"/>
              </w:rPr>
            </w:pPr>
            <w:r w:rsidRPr="003B6C02">
              <w:rPr>
                <w:sz w:val="20"/>
                <w:szCs w:val="20"/>
              </w:rPr>
              <w:t xml:space="preserve">The research does not plan to obtain data from or about individuals residing in EEA member states. </w:t>
            </w:r>
          </w:p>
        </w:tc>
      </w:tr>
      <w:tr w:rsidR="00572DD0" w:rsidRPr="004A3863" w14:paraId="6D244B93" w14:textId="77777777" w:rsidTr="39F83F6F">
        <w:trPr>
          <w:trHeight w:val="159"/>
        </w:trPr>
        <w:tc>
          <w:tcPr>
            <w:tcW w:w="445" w:type="dxa"/>
            <w:gridSpan w:val="2"/>
            <w:tcBorders>
              <w:top w:val="single" w:sz="2" w:space="0" w:color="auto"/>
              <w:bottom w:val="single" w:sz="2" w:space="0" w:color="auto"/>
            </w:tcBorders>
          </w:tcPr>
          <w:p w14:paraId="322B6DD7" w14:textId="4C215FA0" w:rsidR="00572DD0" w:rsidRPr="00572DD0" w:rsidRDefault="00572DD0" w:rsidP="00572DD0">
            <w:pPr>
              <w:pStyle w:val="ChecklistLevel1"/>
              <w:numPr>
                <w:ilvl w:val="0"/>
                <w:numId w:val="0"/>
              </w:numPr>
              <w:rPr>
                <w:sz w:val="22"/>
                <w:szCs w:val="22"/>
              </w:rPr>
            </w:pPr>
            <w:r w:rsidRPr="2423E19A">
              <w:rPr>
                <w:rFonts w:ascii="Segoe UI Symbol" w:eastAsia="MS Gothic" w:hAnsi="Segoe UI Symbol" w:cs="Segoe UI Symbol"/>
                <w:b w:val="0"/>
                <w:sz w:val="22"/>
                <w:szCs w:val="22"/>
              </w:rPr>
              <w:t>☐</w:t>
            </w:r>
          </w:p>
        </w:tc>
        <w:tc>
          <w:tcPr>
            <w:tcW w:w="9993" w:type="dxa"/>
            <w:tcBorders>
              <w:top w:val="single" w:sz="2" w:space="0" w:color="auto"/>
              <w:bottom w:val="single" w:sz="2" w:space="0" w:color="auto"/>
            </w:tcBorders>
          </w:tcPr>
          <w:p w14:paraId="47218CD3" w14:textId="5ABFA0E8" w:rsidR="00572DD0" w:rsidRPr="00572DD0" w:rsidRDefault="00572DD0" w:rsidP="39F83F6F">
            <w:pPr>
              <w:rPr>
                <w:sz w:val="20"/>
                <w:szCs w:val="20"/>
              </w:rPr>
            </w:pPr>
            <w:r w:rsidRPr="39F83F6F">
              <w:rPr>
                <w:sz w:val="20"/>
                <w:szCs w:val="20"/>
              </w:rPr>
              <w:t xml:space="preserve">The research plans to process identified or identifiable data of residents of EEA members states </w:t>
            </w:r>
            <w:r w:rsidRPr="39F83F6F">
              <w:rPr>
                <w:b/>
                <w:bCs/>
                <w:sz w:val="20"/>
                <w:szCs w:val="20"/>
                <w:u w:val="single"/>
              </w:rPr>
              <w:t>who were not EEA residents</w:t>
            </w:r>
            <w:r w:rsidRPr="39F83F6F">
              <w:rPr>
                <w:sz w:val="20"/>
                <w:szCs w:val="20"/>
              </w:rPr>
              <w:t xml:space="preserve"> at the time of data collection (</w:t>
            </w:r>
            <w:r w:rsidR="2170B7F3" w:rsidRPr="39F83F6F">
              <w:rPr>
                <w:sz w:val="20"/>
                <w:szCs w:val="20"/>
              </w:rPr>
              <w:t>for example</w:t>
            </w:r>
            <w:r w:rsidRPr="39F83F6F">
              <w:rPr>
                <w:sz w:val="20"/>
                <w:szCs w:val="20"/>
              </w:rPr>
              <w:t>, data was obtained from or about individuals while they resided in the U.S.</w:t>
            </w:r>
            <w:r w:rsidR="316CF35F" w:rsidRPr="39F83F6F">
              <w:rPr>
                <w:sz w:val="20"/>
                <w:szCs w:val="20"/>
              </w:rPr>
              <w:t xml:space="preserve">, before they returned </w:t>
            </w:r>
            <w:r w:rsidR="6374804A" w:rsidRPr="39F83F6F">
              <w:rPr>
                <w:sz w:val="20"/>
                <w:szCs w:val="20"/>
              </w:rPr>
              <w:t xml:space="preserve">or changed their residence to </w:t>
            </w:r>
            <w:r w:rsidR="52A37DA3" w:rsidRPr="39F83F6F">
              <w:rPr>
                <w:sz w:val="20"/>
                <w:szCs w:val="20"/>
              </w:rPr>
              <w:t xml:space="preserve">an </w:t>
            </w:r>
            <w:r w:rsidR="316CF35F" w:rsidRPr="39F83F6F">
              <w:rPr>
                <w:sz w:val="20"/>
                <w:szCs w:val="20"/>
              </w:rPr>
              <w:t>EEA member state.</w:t>
            </w:r>
            <w:r w:rsidRPr="39F83F6F">
              <w:rPr>
                <w:sz w:val="20"/>
                <w:szCs w:val="20"/>
              </w:rPr>
              <w:t>)</w:t>
            </w:r>
          </w:p>
        </w:tc>
      </w:tr>
      <w:tr w:rsidR="00572DD0" w:rsidRPr="004A3863" w14:paraId="551ADECC" w14:textId="77777777" w:rsidTr="39F83F6F">
        <w:trPr>
          <w:trHeight w:val="222"/>
        </w:trPr>
        <w:tc>
          <w:tcPr>
            <w:tcW w:w="445" w:type="dxa"/>
            <w:gridSpan w:val="2"/>
            <w:tcBorders>
              <w:top w:val="single" w:sz="2" w:space="0" w:color="auto"/>
              <w:bottom w:val="single" w:sz="2" w:space="0" w:color="auto"/>
            </w:tcBorders>
          </w:tcPr>
          <w:p w14:paraId="5D71EBFD" w14:textId="17F08F86" w:rsidR="00572DD0" w:rsidRPr="00572DD0" w:rsidRDefault="00572DD0" w:rsidP="00572DD0">
            <w:pPr>
              <w:pStyle w:val="ChecklistLevel1"/>
              <w:numPr>
                <w:ilvl w:val="0"/>
                <w:numId w:val="0"/>
              </w:numPr>
              <w:rPr>
                <w:sz w:val="22"/>
                <w:szCs w:val="22"/>
              </w:rPr>
            </w:pPr>
            <w:r w:rsidRPr="2423E19A">
              <w:rPr>
                <w:rFonts w:ascii="Segoe UI Symbol" w:eastAsia="MS Gothic" w:hAnsi="Segoe UI Symbol" w:cs="Segoe UI Symbol"/>
                <w:b w:val="0"/>
                <w:sz w:val="22"/>
                <w:szCs w:val="22"/>
              </w:rPr>
              <w:t>☐</w:t>
            </w:r>
          </w:p>
        </w:tc>
        <w:tc>
          <w:tcPr>
            <w:tcW w:w="9993" w:type="dxa"/>
            <w:tcBorders>
              <w:top w:val="single" w:sz="2" w:space="0" w:color="auto"/>
              <w:bottom w:val="single" w:sz="4" w:space="0" w:color="auto"/>
            </w:tcBorders>
          </w:tcPr>
          <w:p w14:paraId="5F6DEE14" w14:textId="6FEF3567" w:rsidR="003B6C02" w:rsidRDefault="00572DD0" w:rsidP="003B6C02">
            <w:pPr>
              <w:rPr>
                <w:sz w:val="20"/>
                <w:szCs w:val="20"/>
              </w:rPr>
            </w:pPr>
            <w:r w:rsidRPr="003B6C02">
              <w:rPr>
                <w:sz w:val="20"/>
                <w:szCs w:val="20"/>
              </w:rPr>
              <w:t>The research plans to obtain</w:t>
            </w:r>
            <w:r w:rsidR="003B6C02">
              <w:rPr>
                <w:sz w:val="20"/>
                <w:szCs w:val="20"/>
              </w:rPr>
              <w:t xml:space="preserve"> or </w:t>
            </w:r>
            <w:r w:rsidR="00BE00C5" w:rsidRPr="003B6C02">
              <w:rPr>
                <w:sz w:val="20"/>
                <w:szCs w:val="20"/>
              </w:rPr>
              <w:t xml:space="preserve">process </w:t>
            </w:r>
            <w:r w:rsidRPr="003B6C02">
              <w:rPr>
                <w:b/>
                <w:bCs/>
                <w:sz w:val="20"/>
                <w:szCs w:val="20"/>
              </w:rPr>
              <w:t>only anonymous</w:t>
            </w:r>
            <w:r w:rsidRPr="003B6C02">
              <w:rPr>
                <w:sz w:val="20"/>
                <w:szCs w:val="20"/>
              </w:rPr>
              <w:t xml:space="preserve"> </w:t>
            </w:r>
            <w:r w:rsidR="00BE00C5" w:rsidRPr="003B6C02">
              <w:rPr>
                <w:b/>
                <w:sz w:val="20"/>
                <w:szCs w:val="20"/>
              </w:rPr>
              <w:t xml:space="preserve">or anonymized </w:t>
            </w:r>
            <w:r w:rsidRPr="003B6C02">
              <w:rPr>
                <w:b/>
                <w:sz w:val="20"/>
                <w:szCs w:val="20"/>
              </w:rPr>
              <w:t>data</w:t>
            </w:r>
            <w:r w:rsidRPr="003B6C02">
              <w:rPr>
                <w:sz w:val="20"/>
                <w:szCs w:val="20"/>
              </w:rPr>
              <w:t xml:space="preserve"> from or about residents of EEA member states.   </w:t>
            </w:r>
            <w:r w:rsidR="00FE59EB" w:rsidRPr="003B6C02">
              <w:rPr>
                <w:sz w:val="20"/>
                <w:szCs w:val="20"/>
              </w:rPr>
              <w:t>GDPR does not apply to data that does not relate to an identified or identifiable person or to data rendered anonymous in such a way that the data subject is not or no longer identifiable.</w:t>
            </w:r>
          </w:p>
          <w:p w14:paraId="46E09439" w14:textId="77777777" w:rsidR="003B6C02" w:rsidRDefault="003B6C02" w:rsidP="003B6C02">
            <w:pPr>
              <w:rPr>
                <w:sz w:val="20"/>
                <w:szCs w:val="20"/>
              </w:rPr>
            </w:pPr>
          </w:p>
          <w:tbl>
            <w:tblPr>
              <w:tblStyle w:val="TableGrid"/>
              <w:tblW w:w="0" w:type="auto"/>
              <w:tblLook w:val="04A0" w:firstRow="1" w:lastRow="0" w:firstColumn="1" w:lastColumn="0" w:noHBand="0" w:noVBand="1"/>
            </w:tblPr>
            <w:tblGrid>
              <w:gridCol w:w="9767"/>
            </w:tblGrid>
            <w:tr w:rsidR="003B6C02" w14:paraId="7ADE6339" w14:textId="77777777" w:rsidTr="003B6C02">
              <w:tc>
                <w:tcPr>
                  <w:tcW w:w="9767" w:type="dxa"/>
                  <w:shd w:val="clear" w:color="auto" w:fill="F2F2F2" w:themeFill="background1" w:themeFillShade="F2"/>
                </w:tcPr>
                <w:p w14:paraId="74AD3A50" w14:textId="360C4A79" w:rsidR="003B6C02" w:rsidRPr="003B6C02" w:rsidRDefault="003B6C02" w:rsidP="00102920">
                  <w:pPr>
                    <w:framePr w:hSpace="180" w:wrap="around" w:vAnchor="text" w:hAnchor="text" w:y="1"/>
                    <w:suppressOverlap/>
                    <w:rPr>
                      <w:sz w:val="20"/>
                      <w:szCs w:val="20"/>
                    </w:rPr>
                  </w:pPr>
                  <w:r w:rsidRPr="003B6C02">
                    <w:rPr>
                      <w:sz w:val="20"/>
                      <w:szCs w:val="20"/>
                    </w:rPr>
                    <w:t xml:space="preserve">In order </w:t>
                  </w:r>
                  <w:r>
                    <w:rPr>
                      <w:sz w:val="20"/>
                      <w:szCs w:val="20"/>
                    </w:rPr>
                    <w:t>for data to be considered</w:t>
                  </w:r>
                  <w:r w:rsidRPr="003B6C02">
                    <w:rPr>
                      <w:sz w:val="20"/>
                      <w:szCs w:val="20"/>
                    </w:rPr>
                    <w:t xml:space="preserve"> </w:t>
                  </w:r>
                  <w:r w:rsidRPr="003B6C02">
                    <w:rPr>
                      <w:b/>
                      <w:sz w:val="20"/>
                      <w:szCs w:val="20"/>
                    </w:rPr>
                    <w:t>anonymous or anonymized</w:t>
                  </w:r>
                  <w:r w:rsidRPr="003B6C02">
                    <w:rPr>
                      <w:sz w:val="20"/>
                      <w:szCs w:val="20"/>
                    </w:rPr>
                    <w:t xml:space="preserve">, direct and indirect personal identifiers must be removed and technical safeguards have been implemented such that </w:t>
                  </w:r>
                  <w:r w:rsidRPr="003B6C02">
                    <w:rPr>
                      <w:sz w:val="20"/>
                      <w:szCs w:val="20"/>
                      <w:u w:val="single"/>
                    </w:rPr>
                    <w:t>data can never be re-identified</w:t>
                  </w:r>
                  <w:r w:rsidRPr="003B6C02">
                    <w:rPr>
                      <w:sz w:val="20"/>
                      <w:szCs w:val="20"/>
                    </w:rPr>
                    <w:t xml:space="preserve">. (That is, there is zero risk of re-identification.) According to GDPR, anonymized data </w:t>
                  </w:r>
                  <w:r w:rsidRPr="003B6C02">
                    <w:rPr>
                      <w:sz w:val="20"/>
                      <w:szCs w:val="20"/>
                      <w:u w:val="single"/>
                    </w:rPr>
                    <w:t>does not</w:t>
                  </w:r>
                  <w:r w:rsidRPr="003B6C02">
                    <w:rPr>
                      <w:sz w:val="20"/>
                      <w:szCs w:val="20"/>
                    </w:rPr>
                    <w:t xml:space="preserve"> fall within the GDPR because it is no longer considered “personal data” (</w:t>
                  </w:r>
                  <w:hyperlink r:id="rId15" w:history="1">
                    <w:r w:rsidRPr="003B6C02">
                      <w:rPr>
                        <w:rStyle w:val="Hyperlink"/>
                        <w:sz w:val="20"/>
                        <w:szCs w:val="20"/>
                      </w:rPr>
                      <w:t>GDPR Recital 26</w:t>
                    </w:r>
                  </w:hyperlink>
                  <w:r w:rsidRPr="003B6C02">
                    <w:rPr>
                      <w:sz w:val="20"/>
                      <w:szCs w:val="20"/>
                    </w:rPr>
                    <w:t xml:space="preserve">).                                                                                                                                    </w:t>
                  </w:r>
                </w:p>
                <w:p w14:paraId="34A314CF" w14:textId="77777777" w:rsidR="003B6C02" w:rsidRDefault="003B6C02" w:rsidP="00102920">
                  <w:pPr>
                    <w:framePr w:hSpace="180" w:wrap="around" w:vAnchor="text" w:hAnchor="text" w:y="1"/>
                    <w:suppressOverlap/>
                    <w:rPr>
                      <w:b/>
                      <w:bCs/>
                      <w:color w:val="FF0000"/>
                      <w:sz w:val="20"/>
                      <w:szCs w:val="20"/>
                    </w:rPr>
                  </w:pPr>
                </w:p>
                <w:p w14:paraId="7CC85192" w14:textId="16A5580E" w:rsidR="003B6C02" w:rsidRDefault="003B6C02" w:rsidP="00102920">
                  <w:pPr>
                    <w:framePr w:hSpace="180" w:wrap="around" w:vAnchor="text" w:hAnchor="text" w:y="1"/>
                    <w:suppressOverlap/>
                    <w:rPr>
                      <w:sz w:val="20"/>
                      <w:szCs w:val="20"/>
                    </w:rPr>
                  </w:pPr>
                  <w:r w:rsidRPr="003B6C02">
                    <w:rPr>
                      <w:b/>
                      <w:bCs/>
                      <w:color w:val="FF0000"/>
                      <w:sz w:val="20"/>
                      <w:szCs w:val="20"/>
                    </w:rPr>
                    <w:t>NOTE:</w:t>
                  </w:r>
                  <w:r w:rsidRPr="003B6C02">
                    <w:rPr>
                      <w:color w:val="FF0000"/>
                      <w:sz w:val="20"/>
                      <w:szCs w:val="20"/>
                    </w:rPr>
                    <w:t xml:space="preserve"> </w:t>
                  </w:r>
                  <w:r w:rsidR="00882024" w:rsidRPr="003B6C02">
                    <w:rPr>
                      <w:b/>
                      <w:color w:val="000000" w:themeColor="text1"/>
                      <w:sz w:val="20"/>
                      <w:szCs w:val="20"/>
                    </w:rPr>
                    <w:t xml:space="preserve"> Pseudonymization</w:t>
                  </w:r>
                  <w:r w:rsidR="00882024" w:rsidRPr="003B6C02">
                    <w:rPr>
                      <w:color w:val="000000" w:themeColor="text1"/>
                      <w:sz w:val="20"/>
                      <w:szCs w:val="20"/>
                    </w:rPr>
                    <w:t xml:space="preserve"> </w:t>
                  </w:r>
                  <w:r w:rsidR="00882024" w:rsidRPr="003B6C02">
                    <w:rPr>
                      <w:color w:val="000000" w:themeColor="text1"/>
                      <w:sz w:val="20"/>
                      <w:szCs w:val="20"/>
                      <w:u w:val="single"/>
                    </w:rPr>
                    <w:t>is not the same as</w:t>
                  </w:r>
                  <w:r w:rsidR="00882024" w:rsidRPr="003B6C02">
                    <w:rPr>
                      <w:color w:val="000000" w:themeColor="text1"/>
                      <w:sz w:val="20"/>
                      <w:szCs w:val="20"/>
                    </w:rPr>
                    <w:t xml:space="preserve"> </w:t>
                  </w:r>
                  <w:r w:rsidR="00882024" w:rsidRPr="003B6C02">
                    <w:rPr>
                      <w:b/>
                      <w:color w:val="000000" w:themeColor="text1"/>
                      <w:sz w:val="20"/>
                      <w:szCs w:val="20"/>
                    </w:rPr>
                    <w:t>anonymization</w:t>
                  </w:r>
                  <w:r w:rsidR="00882024" w:rsidRPr="003B6C02">
                    <w:rPr>
                      <w:color w:val="000000" w:themeColor="text1"/>
                      <w:sz w:val="20"/>
                      <w:szCs w:val="20"/>
                    </w:rPr>
                    <w:t xml:space="preserve">. </w:t>
                  </w:r>
                  <w:r w:rsidRPr="00882024">
                    <w:rPr>
                      <w:bCs/>
                      <w:color w:val="000000" w:themeColor="text1"/>
                      <w:sz w:val="20"/>
                      <w:szCs w:val="20"/>
                    </w:rPr>
                    <w:t>Pseudonymization</w:t>
                  </w:r>
                  <w:r w:rsidRPr="003B6C02">
                    <w:rPr>
                      <w:color w:val="000000" w:themeColor="text1"/>
                      <w:sz w:val="20"/>
                      <w:szCs w:val="20"/>
                    </w:rPr>
                    <w:t xml:space="preserve"> is the processing of personal data in such a way that the data can no longer be attributed to a specific data subject without the use of additional information. Pseudonymization strategies, such as key coding data, reduce the </w:t>
                  </w:r>
                  <w:proofErr w:type="spellStart"/>
                  <w:r w:rsidRPr="003B6C02">
                    <w:rPr>
                      <w:color w:val="000000" w:themeColor="text1"/>
                      <w:sz w:val="20"/>
                      <w:szCs w:val="20"/>
                    </w:rPr>
                    <w:t>linkability</w:t>
                  </w:r>
                  <w:proofErr w:type="spellEnd"/>
                  <w:r w:rsidRPr="003B6C02">
                    <w:rPr>
                      <w:color w:val="000000" w:themeColor="text1"/>
                      <w:sz w:val="20"/>
                      <w:szCs w:val="20"/>
                    </w:rPr>
                    <w:t xml:space="preserve"> of a dataset with the original identity of a data subject, and is accordingly a useful security measure, but risk of re-identifiability remains. As such, when the research proposes to obtain, process or control pseudonymized (i.e., coded data), </w:t>
                  </w:r>
                  <w:r w:rsidRPr="003B6C02">
                    <w:rPr>
                      <w:b/>
                      <w:color w:val="000000" w:themeColor="text1"/>
                      <w:sz w:val="20"/>
                      <w:szCs w:val="20"/>
                      <w:u w:val="single"/>
                    </w:rPr>
                    <w:t>GDPR applies</w:t>
                  </w:r>
                  <w:r w:rsidRPr="003B6C02">
                    <w:rPr>
                      <w:sz w:val="20"/>
                      <w:szCs w:val="20"/>
                    </w:rPr>
                    <w:t xml:space="preserve"> </w:t>
                  </w:r>
                  <w:r w:rsidRPr="00F7468E">
                    <w:rPr>
                      <w:sz w:val="20"/>
                      <w:szCs w:val="20"/>
                    </w:rPr>
                    <w:t>(</w:t>
                  </w:r>
                  <w:hyperlink r:id="rId16" w:history="1">
                    <w:r w:rsidRPr="00F7468E">
                      <w:rPr>
                        <w:rStyle w:val="Hyperlink"/>
                        <w:sz w:val="20"/>
                        <w:szCs w:val="20"/>
                      </w:rPr>
                      <w:t>Article 29 Working Party Opinion 05/2014</w:t>
                    </w:r>
                  </w:hyperlink>
                  <w:r w:rsidRPr="003B6C02">
                    <w:rPr>
                      <w:sz w:val="20"/>
                      <w:szCs w:val="20"/>
                    </w:rPr>
                    <w:t>).</w:t>
                  </w:r>
                </w:p>
                <w:p w14:paraId="5802B4C9" w14:textId="14863C69" w:rsidR="00882024" w:rsidRDefault="00882024" w:rsidP="00102920">
                  <w:pPr>
                    <w:framePr w:hSpace="180" w:wrap="around" w:vAnchor="text" w:hAnchor="text" w:y="1"/>
                    <w:suppressOverlap/>
                    <w:rPr>
                      <w:sz w:val="20"/>
                      <w:szCs w:val="20"/>
                    </w:rPr>
                  </w:pPr>
                </w:p>
              </w:tc>
            </w:tr>
          </w:tbl>
          <w:p w14:paraId="76772D89" w14:textId="35FAE197" w:rsidR="00572DD0" w:rsidRPr="003B6C02" w:rsidRDefault="00572DD0" w:rsidP="003B6C02">
            <w:pPr>
              <w:rPr>
                <w:sz w:val="20"/>
                <w:szCs w:val="20"/>
              </w:rPr>
            </w:pPr>
          </w:p>
        </w:tc>
      </w:tr>
      <w:tr w:rsidR="00882024" w:rsidRPr="004A3863" w14:paraId="191F70E9" w14:textId="77777777" w:rsidTr="39F83F6F">
        <w:trPr>
          <w:trHeight w:val="222"/>
        </w:trPr>
        <w:tc>
          <w:tcPr>
            <w:tcW w:w="10438" w:type="dxa"/>
            <w:gridSpan w:val="3"/>
            <w:tcBorders>
              <w:top w:val="single" w:sz="2" w:space="0" w:color="auto"/>
              <w:bottom w:val="single" w:sz="2" w:space="0" w:color="auto"/>
            </w:tcBorders>
          </w:tcPr>
          <w:p w14:paraId="3F396D35" w14:textId="33F28EBC" w:rsidR="00882024" w:rsidRPr="00915A66" w:rsidRDefault="00882024" w:rsidP="00113129">
            <w:pPr>
              <w:rPr>
                <w:sz w:val="20"/>
                <w:szCs w:val="20"/>
              </w:rPr>
            </w:pPr>
          </w:p>
        </w:tc>
      </w:tr>
      <w:tr w:rsidR="005E2188" w:rsidRPr="004A3863" w14:paraId="76EB8EC4" w14:textId="77777777" w:rsidTr="000958E4">
        <w:trPr>
          <w:trHeight w:val="358"/>
        </w:trPr>
        <w:tc>
          <w:tcPr>
            <w:tcW w:w="10438" w:type="dxa"/>
            <w:gridSpan w:val="3"/>
            <w:tcBorders>
              <w:top w:val="single" w:sz="2" w:space="0" w:color="auto"/>
            </w:tcBorders>
            <w:vAlign w:val="center"/>
          </w:tcPr>
          <w:p w14:paraId="2AFAE9E4" w14:textId="19C5168F" w:rsidR="005E2188" w:rsidRPr="00882024" w:rsidRDefault="005E2188" w:rsidP="000958E4">
            <w:pPr>
              <w:pStyle w:val="ListParagraph"/>
              <w:numPr>
                <w:ilvl w:val="0"/>
                <w:numId w:val="19"/>
              </w:numPr>
              <w:rPr>
                <w:b/>
                <w:bCs/>
                <w:i/>
                <w:iCs/>
                <w:sz w:val="16"/>
                <w:szCs w:val="16"/>
              </w:rPr>
            </w:pPr>
            <w:r w:rsidRPr="00882024">
              <w:rPr>
                <w:b/>
                <w:bCs/>
                <w:sz w:val="22"/>
                <w:szCs w:val="22"/>
              </w:rPr>
              <w:t>Actions</w:t>
            </w:r>
            <w:r w:rsidR="00572DD0" w:rsidRPr="00882024">
              <w:rPr>
                <w:sz w:val="22"/>
                <w:szCs w:val="22"/>
              </w:rPr>
              <w:t>: Select the appropriate action based on your determination from Section</w:t>
            </w:r>
            <w:r w:rsidR="00882024">
              <w:rPr>
                <w:sz w:val="22"/>
                <w:szCs w:val="22"/>
              </w:rPr>
              <w:t>s</w:t>
            </w:r>
            <w:r w:rsidR="00572DD0" w:rsidRPr="00882024">
              <w:rPr>
                <w:sz w:val="22"/>
                <w:szCs w:val="22"/>
              </w:rPr>
              <w:t xml:space="preserve"> 1 </w:t>
            </w:r>
            <w:r w:rsidR="00882024">
              <w:rPr>
                <w:sz w:val="22"/>
                <w:szCs w:val="22"/>
              </w:rPr>
              <w:t xml:space="preserve">and 2 </w:t>
            </w:r>
            <w:r w:rsidR="00572DD0" w:rsidRPr="00882024">
              <w:rPr>
                <w:sz w:val="22"/>
                <w:szCs w:val="22"/>
              </w:rPr>
              <w:t>above.</w:t>
            </w:r>
          </w:p>
        </w:tc>
      </w:tr>
      <w:tr w:rsidR="00572DD0" w:rsidRPr="004A3863" w14:paraId="443DE07C" w14:textId="77777777" w:rsidTr="39F83F6F">
        <w:trPr>
          <w:trHeight w:val="401"/>
        </w:trPr>
        <w:tc>
          <w:tcPr>
            <w:tcW w:w="445" w:type="dxa"/>
            <w:gridSpan w:val="2"/>
            <w:tcBorders>
              <w:top w:val="single" w:sz="2" w:space="0" w:color="auto"/>
            </w:tcBorders>
          </w:tcPr>
          <w:p w14:paraId="5D16B517" w14:textId="5AAB0C96" w:rsidR="00572DD0" w:rsidRDefault="00572DD0" w:rsidP="2423E19A">
            <w:pPr>
              <w:pStyle w:val="ChecklistLevel1"/>
              <w:numPr>
                <w:ilvl w:val="0"/>
                <w:numId w:val="0"/>
              </w:numPr>
              <w:ind w:left="250" w:hanging="250"/>
              <w:jc w:val="center"/>
              <w:rPr>
                <w:sz w:val="22"/>
                <w:szCs w:val="22"/>
              </w:rPr>
            </w:pPr>
            <w:r w:rsidRPr="2423E19A">
              <w:rPr>
                <w:rFonts w:ascii="Segoe UI Symbol" w:eastAsia="MS Gothic" w:hAnsi="Segoe UI Symbol" w:cs="Segoe UI Symbol"/>
                <w:b w:val="0"/>
                <w:sz w:val="22"/>
                <w:szCs w:val="22"/>
              </w:rPr>
              <w:t>☐</w:t>
            </w:r>
          </w:p>
        </w:tc>
        <w:tc>
          <w:tcPr>
            <w:tcW w:w="9993" w:type="dxa"/>
            <w:tcBorders>
              <w:top w:val="single" w:sz="2" w:space="0" w:color="auto"/>
            </w:tcBorders>
          </w:tcPr>
          <w:p w14:paraId="4B2E2492" w14:textId="1DDA91AD" w:rsidR="00572DD0" w:rsidRPr="000E2050" w:rsidRDefault="00572DD0" w:rsidP="00572DD0">
            <w:pPr>
              <w:rPr>
                <w:iCs/>
                <w:sz w:val="20"/>
                <w:szCs w:val="20"/>
              </w:rPr>
            </w:pPr>
            <w:r w:rsidRPr="00BC1062">
              <w:rPr>
                <w:b/>
                <w:bCs/>
                <w:iCs/>
                <w:sz w:val="20"/>
                <w:szCs w:val="20"/>
                <w:u w:val="single"/>
              </w:rPr>
              <w:t>If GDPR Applies</w:t>
            </w:r>
            <w:r w:rsidRPr="00572DD0">
              <w:rPr>
                <w:b/>
                <w:bCs/>
                <w:iCs/>
                <w:sz w:val="20"/>
                <w:szCs w:val="20"/>
              </w:rPr>
              <w:t xml:space="preserve"> </w:t>
            </w:r>
            <w:r w:rsidR="00BC1062">
              <w:rPr>
                <w:b/>
                <w:bCs/>
                <w:iCs/>
                <w:sz w:val="20"/>
                <w:szCs w:val="20"/>
              </w:rPr>
              <w:t>to the</w:t>
            </w:r>
            <w:r w:rsidRPr="00572DD0">
              <w:rPr>
                <w:b/>
                <w:bCs/>
                <w:iCs/>
                <w:sz w:val="20"/>
                <w:szCs w:val="20"/>
              </w:rPr>
              <w:t xml:space="preserve"> Research:</w:t>
            </w:r>
            <w:r w:rsidRPr="00572DD0">
              <w:rPr>
                <w:iCs/>
                <w:sz w:val="20"/>
                <w:szCs w:val="20"/>
              </w:rPr>
              <w:t xml:space="preserve"> Visit the </w:t>
            </w:r>
            <w:hyperlink r:id="rId17" w:history="1">
              <w:r w:rsidRPr="00EE477D">
                <w:rPr>
                  <w:rStyle w:val="Hyperlink"/>
                  <w:iCs/>
                  <w:sz w:val="20"/>
                  <w:szCs w:val="20"/>
                </w:rPr>
                <w:t xml:space="preserve">Rutgers </w:t>
              </w:r>
              <w:r w:rsidRPr="00EE477D">
                <w:rPr>
                  <w:rStyle w:val="Hyperlink"/>
                  <w:sz w:val="20"/>
                  <w:szCs w:val="20"/>
                </w:rPr>
                <w:t xml:space="preserve">IRB’s </w:t>
              </w:r>
              <w:r w:rsidRPr="00EE477D">
                <w:rPr>
                  <w:rStyle w:val="Hyperlink"/>
                  <w:iCs/>
                  <w:sz w:val="20"/>
                  <w:szCs w:val="20"/>
                </w:rPr>
                <w:t xml:space="preserve">GDRP Guidance </w:t>
              </w:r>
              <w:r w:rsidR="00EE477D">
                <w:rPr>
                  <w:rStyle w:val="Hyperlink"/>
                  <w:iCs/>
                  <w:sz w:val="20"/>
                  <w:szCs w:val="20"/>
                </w:rPr>
                <w:t>W</w:t>
              </w:r>
              <w:r w:rsidRPr="00EE477D">
                <w:rPr>
                  <w:rStyle w:val="Hyperlink"/>
                  <w:iCs/>
                  <w:sz w:val="20"/>
                  <w:szCs w:val="20"/>
                </w:rPr>
                <w:t>ebpage</w:t>
              </w:r>
            </w:hyperlink>
            <w:r w:rsidRPr="00572DD0">
              <w:rPr>
                <w:iCs/>
                <w:sz w:val="20"/>
                <w:szCs w:val="20"/>
              </w:rPr>
              <w:t xml:space="preserve"> for an itemized list of protocol design and consent informational elements which must be addressed in the study to comply with GDPR from an IRB perspective.</w:t>
            </w:r>
          </w:p>
        </w:tc>
      </w:tr>
      <w:tr w:rsidR="00572DD0" w:rsidRPr="004A3863" w14:paraId="6AC4C53F" w14:textId="77777777" w:rsidTr="39F83F6F">
        <w:trPr>
          <w:trHeight w:val="401"/>
        </w:trPr>
        <w:tc>
          <w:tcPr>
            <w:tcW w:w="445" w:type="dxa"/>
            <w:gridSpan w:val="2"/>
            <w:tcBorders>
              <w:top w:val="single" w:sz="2" w:space="0" w:color="auto"/>
            </w:tcBorders>
          </w:tcPr>
          <w:p w14:paraId="6D4478E7" w14:textId="6F0EB80C" w:rsidR="00572DD0" w:rsidRDefault="00572DD0" w:rsidP="2423E19A">
            <w:pPr>
              <w:pStyle w:val="ChecklistLevel1"/>
              <w:numPr>
                <w:ilvl w:val="0"/>
                <w:numId w:val="0"/>
              </w:numPr>
              <w:ind w:left="250" w:hanging="250"/>
              <w:jc w:val="center"/>
              <w:rPr>
                <w:sz w:val="22"/>
                <w:szCs w:val="22"/>
              </w:rPr>
            </w:pPr>
            <w:r w:rsidRPr="2423E19A">
              <w:rPr>
                <w:rFonts w:ascii="Segoe UI Symbol" w:eastAsia="MS Gothic" w:hAnsi="Segoe UI Symbol" w:cs="Segoe UI Symbol"/>
                <w:b w:val="0"/>
                <w:sz w:val="22"/>
                <w:szCs w:val="22"/>
              </w:rPr>
              <w:t>☐</w:t>
            </w:r>
          </w:p>
        </w:tc>
        <w:tc>
          <w:tcPr>
            <w:tcW w:w="9993" w:type="dxa"/>
            <w:tcBorders>
              <w:top w:val="single" w:sz="2" w:space="0" w:color="auto"/>
            </w:tcBorders>
          </w:tcPr>
          <w:p w14:paraId="76DF2CC0" w14:textId="643C5439" w:rsidR="00572DD0" w:rsidRPr="000E2050" w:rsidRDefault="00572DD0" w:rsidP="00572DD0">
            <w:pPr>
              <w:rPr>
                <w:sz w:val="20"/>
                <w:szCs w:val="20"/>
              </w:rPr>
            </w:pPr>
            <w:r w:rsidRPr="00BC1062">
              <w:rPr>
                <w:b/>
                <w:bCs/>
                <w:sz w:val="20"/>
                <w:szCs w:val="20"/>
                <w:u w:val="single"/>
              </w:rPr>
              <w:t>If GDPR Does Not Apply</w:t>
            </w:r>
            <w:r w:rsidRPr="00572DD0">
              <w:rPr>
                <w:b/>
                <w:bCs/>
                <w:sz w:val="20"/>
                <w:szCs w:val="20"/>
              </w:rPr>
              <w:t xml:space="preserve"> </w:t>
            </w:r>
            <w:r w:rsidR="00BC1062">
              <w:rPr>
                <w:b/>
                <w:bCs/>
                <w:sz w:val="20"/>
                <w:szCs w:val="20"/>
              </w:rPr>
              <w:t>to the</w:t>
            </w:r>
            <w:r w:rsidRPr="00572DD0">
              <w:rPr>
                <w:b/>
                <w:bCs/>
                <w:sz w:val="20"/>
                <w:szCs w:val="20"/>
              </w:rPr>
              <w:t xml:space="preserve"> Research</w:t>
            </w:r>
            <w:r w:rsidRPr="00572DD0">
              <w:rPr>
                <w:sz w:val="20"/>
                <w:szCs w:val="20"/>
              </w:rPr>
              <w:t xml:space="preserve">:  </w:t>
            </w:r>
            <w:r w:rsidRPr="00572DD0">
              <w:rPr>
                <w:b/>
                <w:color w:val="FF0000"/>
                <w:sz w:val="20"/>
                <w:szCs w:val="20"/>
              </w:rPr>
              <w:t>STOP</w:t>
            </w:r>
            <w:r>
              <w:rPr>
                <w:sz w:val="20"/>
                <w:szCs w:val="20"/>
              </w:rPr>
              <w:t xml:space="preserve">. </w:t>
            </w:r>
            <w:r w:rsidRPr="00572DD0">
              <w:rPr>
                <w:sz w:val="20"/>
                <w:szCs w:val="20"/>
              </w:rPr>
              <w:t xml:space="preserve">The IRB does not require additional protections </w:t>
            </w:r>
            <w:r w:rsidR="00BC1062">
              <w:rPr>
                <w:sz w:val="20"/>
                <w:szCs w:val="20"/>
              </w:rPr>
              <w:t>outlined in the protocol plan or appear in the</w:t>
            </w:r>
            <w:r w:rsidRPr="00572DD0">
              <w:rPr>
                <w:sz w:val="20"/>
                <w:szCs w:val="20"/>
              </w:rPr>
              <w:t xml:space="preserve"> consent document to comply with GDPR. </w:t>
            </w:r>
            <w:r w:rsidRPr="00572DD0">
              <w:rPr>
                <w:b/>
                <w:color w:val="FF0000"/>
                <w:sz w:val="20"/>
                <w:szCs w:val="20"/>
              </w:rPr>
              <w:t>NOTE:</w:t>
            </w:r>
            <w:r w:rsidRPr="00572DD0">
              <w:rPr>
                <w:color w:val="FF0000"/>
                <w:sz w:val="20"/>
                <w:szCs w:val="20"/>
              </w:rPr>
              <w:t xml:space="preserve"> </w:t>
            </w:r>
            <w:r w:rsidRPr="00572DD0">
              <w:rPr>
                <w:sz w:val="20"/>
                <w:szCs w:val="20"/>
              </w:rPr>
              <w:t>There may be GDPR requirements that apply to your research, which are outside the IRB’s purview. Contact Rutgers University Ethics and Compliance (https://uec.rutgers.edu/programs/gdpr/) for assistance.</w:t>
            </w:r>
          </w:p>
        </w:tc>
      </w:tr>
    </w:tbl>
    <w:p w14:paraId="278E54CA" w14:textId="77777777" w:rsidR="00D80987" w:rsidRDefault="00D80987" w:rsidP="2A472B1A">
      <w:pPr>
        <w:rPr>
          <w:i/>
          <w:iCs/>
          <w:sz w:val="16"/>
          <w:szCs w:val="16"/>
        </w:rPr>
      </w:pPr>
    </w:p>
    <w:p w14:paraId="0DA6989D" w14:textId="6B96A5F7" w:rsidR="00D80987" w:rsidRPr="00572DD0" w:rsidRDefault="00FA1B38" w:rsidP="2423E19A">
      <w:pPr>
        <w:rPr>
          <w:sz w:val="16"/>
          <w:szCs w:val="16"/>
        </w:rPr>
      </w:pPr>
      <w:r w:rsidRPr="00572DD0">
        <w:rPr>
          <w:sz w:val="16"/>
          <w:szCs w:val="16"/>
        </w:rPr>
        <w:t>Notes:</w:t>
      </w:r>
    </w:p>
    <w:p w14:paraId="0FC2C132" w14:textId="10DCBA2E" w:rsidR="00572DD0" w:rsidRPr="00572DD0" w:rsidRDefault="00572DD0" w:rsidP="00572DD0">
      <w:pPr>
        <w:pStyle w:val="ListParagraph"/>
        <w:numPr>
          <w:ilvl w:val="0"/>
          <w:numId w:val="21"/>
        </w:numPr>
        <w:ind w:left="270" w:hanging="270"/>
        <w:rPr>
          <w:sz w:val="16"/>
          <w:szCs w:val="16"/>
        </w:rPr>
      </w:pPr>
      <w:r w:rsidRPr="00572DD0">
        <w:rPr>
          <w:sz w:val="16"/>
          <w:szCs w:val="16"/>
        </w:rPr>
        <w:t xml:space="preserve">GDPR Regulations: </w:t>
      </w:r>
      <w:hyperlink r:id="rId18">
        <w:r w:rsidRPr="00572DD0">
          <w:rPr>
            <w:rStyle w:val="Hyperlink"/>
            <w:sz w:val="16"/>
            <w:szCs w:val="16"/>
          </w:rPr>
          <w:t>https://gdpr-info.eu/</w:t>
        </w:r>
      </w:hyperlink>
    </w:p>
    <w:p w14:paraId="3D7A46FF" w14:textId="7EDF3F03" w:rsidR="00572DD0" w:rsidRPr="00572DD0" w:rsidRDefault="00572DD0" w:rsidP="00572DD0">
      <w:pPr>
        <w:pStyle w:val="ListParagraph"/>
        <w:numPr>
          <w:ilvl w:val="0"/>
          <w:numId w:val="21"/>
        </w:numPr>
        <w:ind w:left="270" w:hanging="270"/>
        <w:rPr>
          <w:sz w:val="16"/>
          <w:szCs w:val="16"/>
        </w:rPr>
      </w:pPr>
      <w:r w:rsidRPr="00572DD0">
        <w:rPr>
          <w:sz w:val="16"/>
          <w:szCs w:val="16"/>
        </w:rPr>
        <w:t xml:space="preserve">GDPR Definitions: </w:t>
      </w:r>
      <w:hyperlink r:id="rId19">
        <w:r w:rsidRPr="00572DD0">
          <w:rPr>
            <w:rStyle w:val="Hyperlink"/>
            <w:rFonts w:eastAsia="Arial Narrow" w:cs="Arial Narrow"/>
            <w:sz w:val="16"/>
            <w:szCs w:val="16"/>
          </w:rPr>
          <w:t>https://gdpr-info.eu/art-4-gdpr/</w:t>
        </w:r>
      </w:hyperlink>
      <w:r w:rsidRPr="00572DD0">
        <w:rPr>
          <w:rFonts w:eastAsia="Arial Narrow" w:cs="Arial Narrow"/>
          <w:sz w:val="16"/>
          <w:szCs w:val="16"/>
        </w:rPr>
        <w:t xml:space="preserve"> </w:t>
      </w:r>
    </w:p>
    <w:p w14:paraId="17028872" w14:textId="55816128" w:rsidR="00572DD0" w:rsidRPr="00572DD0" w:rsidRDefault="00572DD0" w:rsidP="00572DD0">
      <w:pPr>
        <w:pStyle w:val="ListParagraph"/>
        <w:numPr>
          <w:ilvl w:val="0"/>
          <w:numId w:val="21"/>
        </w:numPr>
        <w:ind w:left="270" w:hanging="270"/>
        <w:rPr>
          <w:rFonts w:eastAsia="Arial Narrow" w:cs="Arial Narrow"/>
          <w:sz w:val="16"/>
          <w:szCs w:val="16"/>
        </w:rPr>
      </w:pPr>
      <w:r w:rsidRPr="00572DD0">
        <w:rPr>
          <w:sz w:val="16"/>
          <w:szCs w:val="16"/>
        </w:rPr>
        <w:t xml:space="preserve">GDPR Regulations as interpreted for UK data handlers by the UK Information Commissioner’s Office (ICO) </w:t>
      </w:r>
      <w:hyperlink r:id="rId20">
        <w:r w:rsidRPr="00572DD0">
          <w:rPr>
            <w:rStyle w:val="Hyperlink"/>
            <w:rFonts w:eastAsia="Arial Narrow" w:cs="Arial Narrow"/>
            <w:sz w:val="16"/>
            <w:szCs w:val="16"/>
          </w:rPr>
          <w:t>https://ico.org.uk</w:t>
        </w:r>
      </w:hyperlink>
    </w:p>
    <w:p w14:paraId="10F56DB4" w14:textId="5F791A2A" w:rsidR="00572DD0" w:rsidRPr="00572DD0" w:rsidRDefault="00572DD0" w:rsidP="00572DD0">
      <w:pPr>
        <w:pStyle w:val="ListParagraph"/>
        <w:numPr>
          <w:ilvl w:val="0"/>
          <w:numId w:val="21"/>
        </w:numPr>
        <w:ind w:left="270" w:hanging="270"/>
        <w:rPr>
          <w:rFonts w:eastAsia="Arial Narrow" w:cs="Arial Narrow"/>
          <w:sz w:val="16"/>
          <w:szCs w:val="16"/>
        </w:rPr>
      </w:pPr>
      <w:r w:rsidRPr="00572DD0">
        <w:rPr>
          <w:rFonts w:eastAsia="Arial Narrow" w:cs="Arial Narrow"/>
          <w:sz w:val="16"/>
          <w:szCs w:val="16"/>
        </w:rPr>
        <w:t xml:space="preserve">GDPR </w:t>
      </w:r>
      <w:r w:rsidRPr="00572DD0">
        <w:rPr>
          <w:sz w:val="16"/>
          <w:szCs w:val="16"/>
        </w:rPr>
        <w:t xml:space="preserve">European Data Protection Board (EDPB): Advisory Board (Formerly the Article 29 Working Party) </w:t>
      </w:r>
      <w:hyperlink r:id="rId21">
        <w:r w:rsidRPr="00572DD0">
          <w:rPr>
            <w:rStyle w:val="Hyperlink"/>
            <w:rFonts w:eastAsia="Arial Narrow" w:cs="Arial Narrow"/>
            <w:sz w:val="16"/>
            <w:szCs w:val="16"/>
          </w:rPr>
          <w:t>https://edpb.europa.eu/edpb_en</w:t>
        </w:r>
      </w:hyperlink>
    </w:p>
    <w:p w14:paraId="237D2764" w14:textId="0114AFC9" w:rsidR="00572DD0" w:rsidRPr="00572DD0" w:rsidRDefault="00572DD0" w:rsidP="00572DD0">
      <w:pPr>
        <w:pStyle w:val="ChecklistLevel1"/>
        <w:numPr>
          <w:ilvl w:val="0"/>
          <w:numId w:val="21"/>
        </w:numPr>
        <w:ind w:left="270" w:hanging="270"/>
        <w:jc w:val="both"/>
        <w:rPr>
          <w:b w:val="0"/>
          <w:sz w:val="16"/>
          <w:szCs w:val="16"/>
        </w:rPr>
      </w:pPr>
      <w:r w:rsidRPr="00572DD0">
        <w:rPr>
          <w:b w:val="0"/>
          <w:sz w:val="16"/>
          <w:szCs w:val="16"/>
        </w:rPr>
        <w:t>GDPR’s description of Identifiable Data (</w:t>
      </w:r>
      <w:hyperlink r:id="rId22" w:history="1">
        <w:r w:rsidRPr="00572DD0">
          <w:rPr>
            <w:rStyle w:val="Hyperlink"/>
            <w:b w:val="0"/>
            <w:sz w:val="16"/>
            <w:szCs w:val="16"/>
          </w:rPr>
          <w:t>Known as “Personal Data” in GDPR Art 4</w:t>
        </w:r>
      </w:hyperlink>
      <w:proofErr w:type="gramStart"/>
      <w:r w:rsidRPr="00572DD0">
        <w:rPr>
          <w:b w:val="0"/>
          <w:sz w:val="16"/>
          <w:szCs w:val="16"/>
        </w:rPr>
        <w:t>)  is</w:t>
      </w:r>
      <w:proofErr w:type="gramEnd"/>
      <w:r w:rsidRPr="00572DD0">
        <w:rPr>
          <w:b w:val="0"/>
          <w:sz w:val="16"/>
          <w:szCs w:val="16"/>
        </w:rPr>
        <w:t xml:space="preserve"> </w:t>
      </w:r>
      <w:r w:rsidRPr="00572DD0">
        <w:rPr>
          <w:b w:val="0"/>
          <w:sz w:val="16"/>
          <w:szCs w:val="16"/>
          <w:u w:val="single"/>
        </w:rPr>
        <w:t>broader</w:t>
      </w:r>
      <w:r w:rsidRPr="00572DD0">
        <w:rPr>
          <w:b w:val="0"/>
          <w:sz w:val="16"/>
          <w:szCs w:val="16"/>
        </w:rPr>
        <w:t xml:space="preserve"> than the “Common Rule”: HHS regulations, (</w:t>
      </w:r>
      <w:hyperlink r:id="rId23">
        <w:r w:rsidRPr="00572DD0">
          <w:rPr>
            <w:rStyle w:val="Hyperlink"/>
            <w:b w:val="0"/>
            <w:sz w:val="16"/>
            <w:szCs w:val="16"/>
          </w:rPr>
          <w:t>45 CFR Part 46</w:t>
        </w:r>
      </w:hyperlink>
      <w:r w:rsidRPr="00572DD0">
        <w:rPr>
          <w:rStyle w:val="Hyperlink"/>
          <w:b w:val="0"/>
          <w:sz w:val="16"/>
          <w:szCs w:val="16"/>
        </w:rPr>
        <w:t>.102(e)</w:t>
      </w:r>
      <w:r w:rsidRPr="00572DD0">
        <w:rPr>
          <w:b w:val="0"/>
          <w:sz w:val="16"/>
          <w:szCs w:val="16"/>
        </w:rPr>
        <w:t xml:space="preserve">). </w:t>
      </w:r>
    </w:p>
    <w:p w14:paraId="135CDB68" w14:textId="77777777" w:rsidR="00572DD0" w:rsidRPr="00572DD0" w:rsidRDefault="00572DD0" w:rsidP="00572DD0">
      <w:pPr>
        <w:pStyle w:val="ChecklistLevel1"/>
        <w:numPr>
          <w:ilvl w:val="0"/>
          <w:numId w:val="21"/>
        </w:numPr>
        <w:ind w:left="270" w:hanging="270"/>
        <w:jc w:val="both"/>
        <w:rPr>
          <w:b w:val="0"/>
          <w:sz w:val="16"/>
          <w:szCs w:val="16"/>
        </w:rPr>
      </w:pPr>
      <w:r w:rsidRPr="00572DD0">
        <w:rPr>
          <w:b w:val="0"/>
          <w:sz w:val="16"/>
          <w:szCs w:val="16"/>
        </w:rPr>
        <w:t xml:space="preserve">GDPR governs key-coded data “pseudonymized data” where data collectors do not have access to a key code needed to re-identify the coded data. This type of data is not exempt from the regulation. </w:t>
      </w:r>
    </w:p>
    <w:p w14:paraId="6C59E179" w14:textId="77777777" w:rsidR="00572DD0" w:rsidRPr="00572DD0" w:rsidRDefault="00572DD0" w:rsidP="00572DD0">
      <w:pPr>
        <w:pStyle w:val="ChecklistLevel1"/>
        <w:numPr>
          <w:ilvl w:val="0"/>
          <w:numId w:val="21"/>
        </w:numPr>
        <w:ind w:left="270" w:hanging="270"/>
        <w:jc w:val="both"/>
        <w:rPr>
          <w:b w:val="0"/>
          <w:sz w:val="16"/>
          <w:szCs w:val="16"/>
        </w:rPr>
      </w:pPr>
      <w:r w:rsidRPr="00572DD0">
        <w:rPr>
          <w:b w:val="0"/>
          <w:sz w:val="16"/>
          <w:szCs w:val="16"/>
        </w:rPr>
        <w:t xml:space="preserve">If data is anonymized </w:t>
      </w:r>
      <w:r w:rsidRPr="00572DD0">
        <w:rPr>
          <w:b w:val="0"/>
          <w:sz w:val="16"/>
          <w:szCs w:val="16"/>
          <w:u w:val="single"/>
        </w:rPr>
        <w:t>after</w:t>
      </w:r>
      <w:r w:rsidRPr="00572DD0">
        <w:rPr>
          <w:b w:val="0"/>
          <w:sz w:val="16"/>
          <w:szCs w:val="16"/>
        </w:rPr>
        <w:t xml:space="preserve"> collection, it cannot be excluded from GDPR regulations. </w:t>
      </w:r>
    </w:p>
    <w:p w14:paraId="24A33035" w14:textId="2C5FBD0F" w:rsidR="00572DD0" w:rsidRPr="00572DD0" w:rsidRDefault="00572DD0" w:rsidP="00572DD0">
      <w:pPr>
        <w:pStyle w:val="ChecklistLevel1"/>
        <w:numPr>
          <w:ilvl w:val="0"/>
          <w:numId w:val="21"/>
        </w:numPr>
        <w:ind w:left="270" w:hanging="270"/>
        <w:rPr>
          <w:b w:val="0"/>
          <w:sz w:val="16"/>
          <w:szCs w:val="16"/>
        </w:rPr>
      </w:pPr>
      <w:r w:rsidRPr="00572DD0">
        <w:rPr>
          <w:b w:val="0"/>
          <w:sz w:val="16"/>
          <w:szCs w:val="16"/>
        </w:rPr>
        <w:t>Biospecimens cannot be de-identified or anonymized under GDPR because they contain genetic material (DNA) which falls under “Personal Data” (GDPR, Art 4(1)).</w:t>
      </w:r>
    </w:p>
    <w:p w14:paraId="5400F7EC" w14:textId="77777777" w:rsidR="00572DD0" w:rsidRPr="00572DD0" w:rsidRDefault="00D80987" w:rsidP="00572DD0">
      <w:pPr>
        <w:pStyle w:val="ChecklistLevel1"/>
        <w:numPr>
          <w:ilvl w:val="0"/>
          <w:numId w:val="21"/>
        </w:numPr>
        <w:ind w:left="270" w:hanging="270"/>
        <w:rPr>
          <w:b w:val="0"/>
          <w:sz w:val="16"/>
          <w:szCs w:val="16"/>
        </w:rPr>
      </w:pPr>
      <w:r w:rsidRPr="00572DD0">
        <w:rPr>
          <w:b w:val="0"/>
          <w:sz w:val="16"/>
          <w:szCs w:val="16"/>
        </w:rPr>
        <w:t xml:space="preserve">GDPR does not apply to the collection of fully anonymous data (as defined by </w:t>
      </w:r>
      <w:hyperlink r:id="rId24">
        <w:r w:rsidRPr="00572DD0">
          <w:rPr>
            <w:rStyle w:val="Hyperlink"/>
            <w:b w:val="0"/>
            <w:sz w:val="16"/>
            <w:szCs w:val="16"/>
          </w:rPr>
          <w:t>GDPR Recital 26</w:t>
        </w:r>
      </w:hyperlink>
      <w:r w:rsidRPr="00572DD0">
        <w:rPr>
          <w:b w:val="0"/>
          <w:sz w:val="16"/>
          <w:szCs w:val="16"/>
        </w:rPr>
        <w:t>).</w:t>
      </w:r>
    </w:p>
    <w:p w14:paraId="28DD3807" w14:textId="77777777" w:rsidR="00572DD0" w:rsidRPr="00572DD0" w:rsidRDefault="0B0E27D8" w:rsidP="00572DD0">
      <w:pPr>
        <w:pStyle w:val="ChecklistLevel1"/>
        <w:numPr>
          <w:ilvl w:val="0"/>
          <w:numId w:val="21"/>
        </w:numPr>
        <w:ind w:left="270" w:hanging="270"/>
        <w:rPr>
          <w:b w:val="0"/>
          <w:sz w:val="16"/>
          <w:szCs w:val="16"/>
        </w:rPr>
      </w:pPr>
      <w:r w:rsidRPr="00572DD0">
        <w:rPr>
          <w:b w:val="0"/>
          <w:sz w:val="16"/>
          <w:szCs w:val="16"/>
        </w:rPr>
        <w:t>Do not conf</w:t>
      </w:r>
      <w:r w:rsidR="63760E05" w:rsidRPr="00572DD0">
        <w:rPr>
          <w:b w:val="0"/>
          <w:sz w:val="16"/>
          <w:szCs w:val="16"/>
        </w:rPr>
        <w:t xml:space="preserve">use </w:t>
      </w:r>
      <w:r w:rsidRPr="00572DD0">
        <w:rPr>
          <w:b w:val="0"/>
          <w:sz w:val="16"/>
          <w:szCs w:val="16"/>
        </w:rPr>
        <w:t xml:space="preserve">pseudonymization with </w:t>
      </w:r>
      <w:hyperlink r:id="rId25">
        <w:r w:rsidRPr="00572DD0">
          <w:rPr>
            <w:rStyle w:val="Hyperlink"/>
            <w:b w:val="0"/>
            <w:sz w:val="16"/>
            <w:szCs w:val="16"/>
          </w:rPr>
          <w:t>encryption</w:t>
        </w:r>
      </w:hyperlink>
      <w:r w:rsidRPr="00572DD0">
        <w:rPr>
          <w:b w:val="0"/>
          <w:sz w:val="16"/>
          <w:szCs w:val="16"/>
        </w:rPr>
        <w:t>, a data protection technique which is also recommended by the GDPR but is something entirely different.</w:t>
      </w:r>
    </w:p>
    <w:p w14:paraId="5B7DE4FA" w14:textId="11A86DD1" w:rsidR="00D80987" w:rsidRDefault="16B81876" w:rsidP="00572DD0">
      <w:pPr>
        <w:pStyle w:val="ChecklistLevel1"/>
        <w:numPr>
          <w:ilvl w:val="0"/>
          <w:numId w:val="21"/>
        </w:numPr>
        <w:ind w:left="270" w:hanging="270"/>
        <w:rPr>
          <w:b w:val="0"/>
          <w:sz w:val="16"/>
          <w:szCs w:val="16"/>
        </w:rPr>
      </w:pPr>
      <w:r w:rsidRPr="00572DD0">
        <w:rPr>
          <w:b w:val="0"/>
          <w:sz w:val="16"/>
          <w:szCs w:val="16"/>
        </w:rPr>
        <w:t xml:space="preserve">GDPR and HIPAA Data: GDPR sets standards for all sensitive personal data, while HIPAA deals with only </w:t>
      </w:r>
      <w:hyperlink r:id="rId26">
        <w:r w:rsidRPr="00572DD0">
          <w:rPr>
            <w:rStyle w:val="Hyperlink"/>
            <w:b w:val="0"/>
            <w:sz w:val="16"/>
            <w:szCs w:val="16"/>
          </w:rPr>
          <w:t>Protected Health Information (PHI)</w:t>
        </w:r>
      </w:hyperlink>
      <w:r w:rsidRPr="00572DD0">
        <w:rPr>
          <w:b w:val="0"/>
          <w:sz w:val="16"/>
          <w:szCs w:val="16"/>
        </w:rPr>
        <w:t>. HIPAA standards are limited to health information held by Covered Entities like doctors, employers who offer health benefits or insurance companies. Business Associates – like shredding companies, IT companies, or transcription services are regulated by HIPAA. The GDPR, however, applies to all organizations dealing with personal data.</w:t>
      </w:r>
    </w:p>
    <w:p w14:paraId="1A5B8B09" w14:textId="66B11052" w:rsidR="00D80987" w:rsidRPr="00572DD0" w:rsidRDefault="00D80987" w:rsidP="2423E19A">
      <w:pPr>
        <w:rPr>
          <w:sz w:val="16"/>
          <w:szCs w:val="16"/>
        </w:rPr>
      </w:pPr>
    </w:p>
    <w:p w14:paraId="0D9675CB" w14:textId="187C7AF8" w:rsidR="2423E19A" w:rsidRDefault="2423E19A" w:rsidP="2423E19A">
      <w:pPr>
        <w:rPr>
          <w:i/>
          <w:iCs/>
          <w:sz w:val="16"/>
          <w:szCs w:val="16"/>
        </w:rPr>
      </w:pPr>
    </w:p>
    <w:p w14:paraId="009F3AAB" w14:textId="77777777" w:rsidR="00D80987" w:rsidRDefault="00D80987" w:rsidP="2A472B1A">
      <w:pPr>
        <w:rPr>
          <w:i/>
          <w:iCs/>
          <w:sz w:val="16"/>
          <w:szCs w:val="16"/>
        </w:rPr>
      </w:pPr>
    </w:p>
    <w:p w14:paraId="3F011C84" w14:textId="77777777" w:rsidR="009023C3" w:rsidRPr="00F94C50" w:rsidRDefault="009023C3">
      <w:pPr>
        <w:rPr>
          <w:i/>
          <w:iCs/>
          <w:sz w:val="20"/>
          <w:szCs w:val="20"/>
        </w:rPr>
      </w:pPr>
    </w:p>
    <w:sectPr w:rsidR="009023C3" w:rsidRPr="00F94C50" w:rsidSect="00835536">
      <w:headerReference w:type="default" r:id="rId27"/>
      <w:footerReference w:type="default" r:id="rId28"/>
      <w:pgSz w:w="12240" w:h="15840"/>
      <w:pgMar w:top="14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3FB5D" w14:textId="77777777" w:rsidR="003C0961" w:rsidRDefault="003C0961">
      <w:r>
        <w:separator/>
      </w:r>
    </w:p>
  </w:endnote>
  <w:endnote w:type="continuationSeparator" w:id="0">
    <w:p w14:paraId="2669A688" w14:textId="77777777" w:rsidR="003C0961" w:rsidRDefault="003C0961">
      <w:r>
        <w:continuationSeparator/>
      </w:r>
    </w:p>
  </w:endnote>
  <w:endnote w:type="continuationNotice" w:id="1">
    <w:p w14:paraId="64136E19" w14:textId="77777777" w:rsidR="003C0961" w:rsidRDefault="003C0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BEB2" w14:textId="69A2988F" w:rsidR="00665F27" w:rsidRPr="00C951C5" w:rsidRDefault="00665F27" w:rsidP="001D7886">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D0C6" w14:textId="77777777" w:rsidR="003C0961" w:rsidRDefault="003C0961">
      <w:r>
        <w:separator/>
      </w:r>
    </w:p>
  </w:footnote>
  <w:footnote w:type="continuationSeparator" w:id="0">
    <w:p w14:paraId="1827AFE5" w14:textId="77777777" w:rsidR="003C0961" w:rsidRDefault="003C0961">
      <w:r>
        <w:continuationSeparator/>
      </w:r>
    </w:p>
  </w:footnote>
  <w:footnote w:type="continuationNotice" w:id="1">
    <w:p w14:paraId="4A426BE3" w14:textId="77777777" w:rsidR="003C0961" w:rsidRDefault="003C09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790"/>
      <w:gridCol w:w="2604"/>
      <w:gridCol w:w="2698"/>
      <w:gridCol w:w="2258"/>
    </w:tblGrid>
    <w:tr w:rsidR="00665F27" w14:paraId="1EE2170C" w14:textId="77777777" w:rsidTr="004E50B6">
      <w:trPr>
        <w:trHeight w:val="439"/>
      </w:trPr>
      <w:tc>
        <w:tcPr>
          <w:tcW w:w="2790" w:type="dxa"/>
          <w:vMerge w:val="restart"/>
          <w:tcBorders>
            <w:top w:val="nil"/>
            <w:left w:val="nil"/>
            <w:bottom w:val="nil"/>
            <w:right w:val="single" w:sz="4" w:space="0" w:color="auto"/>
          </w:tcBorders>
          <w:vAlign w:val="center"/>
        </w:tcPr>
        <w:p w14:paraId="09E919D8" w14:textId="77777777" w:rsidR="00C67B5E" w:rsidRDefault="39F83F6F" w:rsidP="002919A4">
          <w:pPr>
            <w:pStyle w:val="Header"/>
            <w:jc w:val="center"/>
            <w:rPr>
              <w:sz w:val="14"/>
              <w:szCs w:val="14"/>
            </w:rPr>
          </w:pPr>
          <w:r>
            <w:rPr>
              <w:noProof/>
            </w:rPr>
            <w:drawing>
              <wp:inline distT="0" distB="0" distL="0" distR="0" wp14:anchorId="44DAE33B" wp14:editId="1FCDDEB2">
                <wp:extent cx="1542098" cy="540689"/>
                <wp:effectExtent l="0" t="0" r="1270" b="0"/>
                <wp:docPr id="1462470052" name="Picture 2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1542098" cy="540689"/>
                        </a:xfrm>
                        <a:prstGeom prst="rect">
                          <a:avLst/>
                        </a:prstGeom>
                      </pic:spPr>
                    </pic:pic>
                  </a:graphicData>
                </a:graphic>
              </wp:inline>
            </w:drawing>
          </w:r>
        </w:p>
        <w:p w14:paraId="4F013BAE" w14:textId="359E0315" w:rsidR="002919A4" w:rsidRPr="002919A4" w:rsidRDefault="002919A4" w:rsidP="002919A4">
          <w:pPr>
            <w:pStyle w:val="Header"/>
            <w:jc w:val="center"/>
            <w:rPr>
              <w:sz w:val="14"/>
              <w:szCs w:val="14"/>
            </w:rPr>
          </w:pPr>
        </w:p>
      </w:tc>
      <w:tc>
        <w:tcPr>
          <w:tcW w:w="7560" w:type="dxa"/>
          <w:gridSpan w:val="3"/>
          <w:tcBorders>
            <w:left w:val="single" w:sz="4" w:space="0" w:color="auto"/>
          </w:tcBorders>
          <w:vAlign w:val="center"/>
        </w:tcPr>
        <w:p w14:paraId="2DD9FD95" w14:textId="751DDF9E" w:rsidR="00665F27" w:rsidRPr="009D4898" w:rsidRDefault="00665F27" w:rsidP="005010D9">
          <w:pPr>
            <w:pStyle w:val="Header"/>
            <w:rPr>
              <w:rFonts w:ascii="Arial" w:hAnsi="Arial"/>
              <w:b/>
            </w:rPr>
          </w:pPr>
          <w:r w:rsidRPr="009D4898">
            <w:rPr>
              <w:rFonts w:ascii="Arial" w:hAnsi="Arial"/>
              <w:b/>
            </w:rPr>
            <w:t xml:space="preserve">WORKSHEET: </w:t>
          </w:r>
          <w:r w:rsidRPr="00156363">
            <w:rPr>
              <w:rFonts w:ascii="Arial" w:hAnsi="Arial"/>
              <w:b/>
              <w:sz w:val="22"/>
              <w:szCs w:val="22"/>
            </w:rPr>
            <w:t>GDPR Compliance</w:t>
          </w:r>
          <w:r w:rsidR="00863030" w:rsidRPr="00156363">
            <w:rPr>
              <w:rFonts w:ascii="Arial" w:hAnsi="Arial"/>
              <w:b/>
              <w:sz w:val="22"/>
              <w:szCs w:val="22"/>
            </w:rPr>
            <w:t xml:space="preserve"> - </w:t>
          </w:r>
          <w:r w:rsidRPr="00156363">
            <w:rPr>
              <w:rFonts w:ascii="Arial" w:hAnsi="Arial"/>
              <w:b/>
              <w:sz w:val="22"/>
              <w:szCs w:val="22"/>
            </w:rPr>
            <w:t>Data Protection And Privacy</w:t>
          </w:r>
        </w:p>
      </w:tc>
    </w:tr>
    <w:tr w:rsidR="00665F27" w14:paraId="5A7F9B81" w14:textId="77777777" w:rsidTr="004E50B6">
      <w:trPr>
        <w:trHeight w:val="440"/>
      </w:trPr>
      <w:tc>
        <w:tcPr>
          <w:tcW w:w="2790" w:type="dxa"/>
          <w:vMerge/>
          <w:tcBorders>
            <w:top w:val="nil"/>
            <w:left w:val="nil"/>
            <w:bottom w:val="nil"/>
            <w:right w:val="single" w:sz="4" w:space="0" w:color="auto"/>
          </w:tcBorders>
        </w:tcPr>
        <w:p w14:paraId="629AD9A2" w14:textId="77777777" w:rsidR="00665F27" w:rsidRDefault="00665F27" w:rsidP="00835536">
          <w:pPr>
            <w:pStyle w:val="Header"/>
          </w:pPr>
        </w:p>
      </w:tc>
      <w:tc>
        <w:tcPr>
          <w:tcW w:w="2604" w:type="dxa"/>
          <w:tcBorders>
            <w:left w:val="single" w:sz="4" w:space="0" w:color="auto"/>
          </w:tcBorders>
          <w:vAlign w:val="center"/>
        </w:tcPr>
        <w:p w14:paraId="699C177B" w14:textId="5B3CF5BF" w:rsidR="00665F27" w:rsidRPr="00835536" w:rsidRDefault="00665F27" w:rsidP="00835536">
          <w:pPr>
            <w:pStyle w:val="Header"/>
            <w:jc w:val="center"/>
            <w:rPr>
              <w:rFonts w:ascii="Arial" w:hAnsi="Arial"/>
              <w:sz w:val="18"/>
              <w:szCs w:val="18"/>
            </w:rPr>
          </w:pPr>
          <w:r w:rsidRPr="00835536">
            <w:rPr>
              <w:rFonts w:ascii="Arial" w:hAnsi="Arial"/>
              <w:color w:val="000000"/>
              <w:sz w:val="18"/>
              <w:szCs w:val="18"/>
            </w:rPr>
            <w:t>NUMBER</w:t>
          </w:r>
        </w:p>
      </w:tc>
      <w:tc>
        <w:tcPr>
          <w:tcW w:w="2698" w:type="dxa"/>
          <w:vAlign w:val="center"/>
        </w:tcPr>
        <w:p w14:paraId="243DBEA6" w14:textId="4CAC840A" w:rsidR="00665F27" w:rsidRPr="00835536" w:rsidRDefault="00665F27" w:rsidP="00835536">
          <w:pPr>
            <w:pStyle w:val="Header"/>
            <w:jc w:val="center"/>
            <w:rPr>
              <w:rFonts w:ascii="Arial" w:hAnsi="Arial"/>
              <w:sz w:val="18"/>
              <w:szCs w:val="18"/>
            </w:rPr>
          </w:pPr>
          <w:r w:rsidRPr="00835536">
            <w:rPr>
              <w:rFonts w:ascii="Arial" w:hAnsi="Arial"/>
              <w:color w:val="000000"/>
              <w:sz w:val="18"/>
              <w:szCs w:val="18"/>
            </w:rPr>
            <w:t>DATE</w:t>
          </w:r>
        </w:p>
      </w:tc>
      <w:tc>
        <w:tcPr>
          <w:tcW w:w="2258" w:type="dxa"/>
          <w:vAlign w:val="center"/>
        </w:tcPr>
        <w:p w14:paraId="6FC7AE88" w14:textId="115263CE" w:rsidR="00665F27" w:rsidRPr="00835536" w:rsidRDefault="00665F27" w:rsidP="00835536">
          <w:pPr>
            <w:pStyle w:val="Header"/>
            <w:jc w:val="center"/>
            <w:rPr>
              <w:rFonts w:ascii="Arial" w:hAnsi="Arial"/>
              <w:sz w:val="18"/>
              <w:szCs w:val="18"/>
            </w:rPr>
          </w:pPr>
          <w:r w:rsidRPr="00835536">
            <w:rPr>
              <w:rFonts w:ascii="Arial" w:hAnsi="Arial"/>
              <w:color w:val="000000"/>
              <w:sz w:val="18"/>
              <w:szCs w:val="18"/>
            </w:rPr>
            <w:t>PAGE</w:t>
          </w:r>
        </w:p>
      </w:tc>
    </w:tr>
    <w:tr w:rsidR="00665F27" w14:paraId="18CD22B7" w14:textId="77777777" w:rsidTr="004E50B6">
      <w:trPr>
        <w:trHeight w:val="350"/>
      </w:trPr>
      <w:tc>
        <w:tcPr>
          <w:tcW w:w="2790" w:type="dxa"/>
          <w:vMerge/>
          <w:tcBorders>
            <w:top w:val="nil"/>
            <w:left w:val="nil"/>
            <w:bottom w:val="nil"/>
            <w:right w:val="single" w:sz="4" w:space="0" w:color="auto"/>
          </w:tcBorders>
          <w:vAlign w:val="center"/>
        </w:tcPr>
        <w:p w14:paraId="6C7D86B1" w14:textId="3D53CE86" w:rsidR="00665F27" w:rsidRDefault="00665F27" w:rsidP="00835536">
          <w:pPr>
            <w:pStyle w:val="Header"/>
          </w:pPr>
        </w:p>
      </w:tc>
      <w:tc>
        <w:tcPr>
          <w:tcW w:w="2604" w:type="dxa"/>
          <w:tcBorders>
            <w:left w:val="single" w:sz="4" w:space="0" w:color="auto"/>
          </w:tcBorders>
          <w:vAlign w:val="center"/>
        </w:tcPr>
        <w:p w14:paraId="26A5248C" w14:textId="59EBA1AF" w:rsidR="00665F27" w:rsidRPr="00835536" w:rsidRDefault="00665F27" w:rsidP="00835536">
          <w:pPr>
            <w:pStyle w:val="Header"/>
            <w:jc w:val="center"/>
            <w:rPr>
              <w:rFonts w:ascii="Arial" w:hAnsi="Arial"/>
              <w:sz w:val="18"/>
              <w:szCs w:val="18"/>
            </w:rPr>
          </w:pPr>
          <w:r w:rsidRPr="00835536">
            <w:rPr>
              <w:rFonts w:ascii="Arial" w:hAnsi="Arial"/>
              <w:color w:val="000000"/>
              <w:sz w:val="18"/>
              <w:szCs w:val="18"/>
            </w:rPr>
            <w:t>HRP-335</w:t>
          </w:r>
        </w:p>
      </w:tc>
      <w:tc>
        <w:tcPr>
          <w:tcW w:w="2698" w:type="dxa"/>
          <w:vAlign w:val="center"/>
        </w:tcPr>
        <w:p w14:paraId="2877C63C" w14:textId="4C1A9B80" w:rsidR="00665F27" w:rsidRPr="00835536" w:rsidRDefault="00BD7F1F" w:rsidP="6B6B7A69">
          <w:pPr>
            <w:pStyle w:val="Header"/>
            <w:spacing w:line="259" w:lineRule="auto"/>
            <w:jc w:val="center"/>
          </w:pPr>
          <w:r>
            <w:rPr>
              <w:rFonts w:ascii="Arial" w:hAnsi="Arial"/>
              <w:color w:val="000000" w:themeColor="text1"/>
              <w:sz w:val="18"/>
              <w:szCs w:val="18"/>
            </w:rPr>
            <w:t>1</w:t>
          </w:r>
          <w:r w:rsidR="6B6B7A69" w:rsidRPr="6B6B7A69">
            <w:rPr>
              <w:rFonts w:ascii="Arial" w:hAnsi="Arial"/>
              <w:color w:val="000000" w:themeColor="text1"/>
              <w:sz w:val="18"/>
              <w:szCs w:val="18"/>
            </w:rPr>
            <w:t>/1/202</w:t>
          </w:r>
          <w:r>
            <w:rPr>
              <w:rFonts w:ascii="Arial" w:hAnsi="Arial"/>
              <w:color w:val="000000" w:themeColor="text1"/>
              <w:sz w:val="18"/>
              <w:szCs w:val="18"/>
            </w:rPr>
            <w:t>1</w:t>
          </w:r>
        </w:p>
      </w:tc>
      <w:tc>
        <w:tcPr>
          <w:tcW w:w="2258" w:type="dxa"/>
          <w:vAlign w:val="center"/>
        </w:tcPr>
        <w:sdt>
          <w:sdtPr>
            <w:id w:val="-1697220854"/>
            <w:docPartObj>
              <w:docPartGallery w:val="Page Numbers (Top of Page)"/>
              <w:docPartUnique/>
            </w:docPartObj>
          </w:sdtPr>
          <w:sdtEndPr>
            <w:rPr>
              <w:rFonts w:ascii="Arial" w:hAnsi="Arial"/>
              <w:sz w:val="18"/>
            </w:rPr>
          </w:sdtEndPr>
          <w:sdtContent>
            <w:p w14:paraId="71E517A9" w14:textId="37A55E51" w:rsidR="39F83F6F" w:rsidRPr="004E50B6" w:rsidRDefault="00665F27" w:rsidP="004E50B6">
              <w:pPr>
                <w:pStyle w:val="Footer"/>
                <w:jc w:val="center"/>
                <w:rPr>
                  <w:rFonts w:ascii="Arial" w:hAnsi="Arial"/>
                  <w:sz w:val="18"/>
                </w:rPr>
              </w:pPr>
              <w:r w:rsidRPr="00835536">
                <w:rPr>
                  <w:rFonts w:ascii="Arial" w:hAnsi="Arial"/>
                  <w:sz w:val="18"/>
                </w:rPr>
                <w:t xml:space="preserve">Page </w:t>
              </w:r>
              <w:r w:rsidRPr="00835536">
                <w:rPr>
                  <w:rFonts w:ascii="Arial" w:hAnsi="Arial"/>
                  <w:b/>
                  <w:bCs/>
                  <w:sz w:val="18"/>
                </w:rPr>
                <w:fldChar w:fldCharType="begin"/>
              </w:r>
              <w:r w:rsidRPr="00835536">
                <w:rPr>
                  <w:rFonts w:ascii="Arial" w:hAnsi="Arial"/>
                  <w:b/>
                  <w:bCs/>
                  <w:sz w:val="18"/>
                </w:rPr>
                <w:instrText xml:space="preserve"> PAGE </w:instrText>
              </w:r>
              <w:r w:rsidRPr="00835536">
                <w:rPr>
                  <w:rFonts w:ascii="Arial" w:hAnsi="Arial"/>
                  <w:b/>
                  <w:bCs/>
                  <w:sz w:val="18"/>
                </w:rPr>
                <w:fldChar w:fldCharType="separate"/>
              </w:r>
              <w:r w:rsidR="00102920">
                <w:rPr>
                  <w:rFonts w:ascii="Arial" w:hAnsi="Arial"/>
                  <w:b/>
                  <w:bCs/>
                  <w:noProof/>
                  <w:sz w:val="18"/>
                </w:rPr>
                <w:t>1</w:t>
              </w:r>
              <w:r w:rsidRPr="00835536">
                <w:rPr>
                  <w:rFonts w:ascii="Arial" w:hAnsi="Arial"/>
                  <w:b/>
                  <w:bCs/>
                  <w:sz w:val="18"/>
                </w:rPr>
                <w:fldChar w:fldCharType="end"/>
              </w:r>
              <w:r w:rsidRPr="00835536">
                <w:rPr>
                  <w:rFonts w:ascii="Arial" w:hAnsi="Arial"/>
                  <w:sz w:val="18"/>
                </w:rPr>
                <w:t xml:space="preserve"> of </w:t>
              </w:r>
              <w:r w:rsidRPr="00835536">
                <w:rPr>
                  <w:rFonts w:ascii="Arial" w:hAnsi="Arial"/>
                  <w:b/>
                  <w:bCs/>
                  <w:sz w:val="18"/>
                </w:rPr>
                <w:fldChar w:fldCharType="begin"/>
              </w:r>
              <w:r w:rsidRPr="00835536">
                <w:rPr>
                  <w:rFonts w:ascii="Arial" w:hAnsi="Arial"/>
                  <w:b/>
                  <w:bCs/>
                  <w:sz w:val="18"/>
                </w:rPr>
                <w:instrText xml:space="preserve"> NUMPAGES  </w:instrText>
              </w:r>
              <w:r w:rsidRPr="00835536">
                <w:rPr>
                  <w:rFonts w:ascii="Arial" w:hAnsi="Arial"/>
                  <w:b/>
                  <w:bCs/>
                  <w:sz w:val="18"/>
                </w:rPr>
                <w:fldChar w:fldCharType="separate"/>
              </w:r>
              <w:r w:rsidR="00102920">
                <w:rPr>
                  <w:rFonts w:ascii="Arial" w:hAnsi="Arial"/>
                  <w:b/>
                  <w:bCs/>
                  <w:noProof/>
                  <w:sz w:val="18"/>
                </w:rPr>
                <w:t>2</w:t>
              </w:r>
              <w:r w:rsidRPr="00835536">
                <w:rPr>
                  <w:rFonts w:ascii="Arial" w:hAnsi="Arial"/>
                  <w:b/>
                  <w:bCs/>
                  <w:sz w:val="18"/>
                </w:rPr>
                <w:fldChar w:fldCharType="end"/>
              </w:r>
            </w:p>
          </w:sdtContent>
        </w:sdt>
      </w:tc>
    </w:tr>
  </w:tbl>
  <w:p w14:paraId="6DC36A74" w14:textId="3F6E1D06" w:rsidR="00665F27" w:rsidRDefault="0066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3714E1"/>
    <w:multiLevelType w:val="hybridMultilevel"/>
    <w:tmpl w:val="0D8C12A0"/>
    <w:lvl w:ilvl="0" w:tplc="843200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97CCE"/>
    <w:multiLevelType w:val="hybridMultilevel"/>
    <w:tmpl w:val="EC82FECC"/>
    <w:lvl w:ilvl="0" w:tplc="3F087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879C8"/>
    <w:multiLevelType w:val="hybridMultilevel"/>
    <w:tmpl w:val="9670E46E"/>
    <w:lvl w:ilvl="0" w:tplc="F048B054">
      <w:start w:val="1"/>
      <w:numFmt w:val="bullet"/>
      <w:lvlText w:val=""/>
      <w:lvlJc w:val="left"/>
      <w:pPr>
        <w:ind w:left="720" w:hanging="360"/>
      </w:pPr>
      <w:rPr>
        <w:rFonts w:ascii="Wingdings" w:hAnsi="Wingdings" w:hint="default"/>
      </w:rPr>
    </w:lvl>
    <w:lvl w:ilvl="1" w:tplc="1A9ACFD0">
      <w:start w:val="1"/>
      <w:numFmt w:val="bullet"/>
      <w:lvlText w:val="o"/>
      <w:lvlJc w:val="left"/>
      <w:pPr>
        <w:ind w:left="1440" w:hanging="360"/>
      </w:pPr>
      <w:rPr>
        <w:rFonts w:ascii="Courier New" w:hAnsi="Courier New" w:hint="default"/>
      </w:rPr>
    </w:lvl>
    <w:lvl w:ilvl="2" w:tplc="DD1E64C8">
      <w:start w:val="1"/>
      <w:numFmt w:val="bullet"/>
      <w:lvlText w:val=""/>
      <w:lvlJc w:val="left"/>
      <w:pPr>
        <w:ind w:left="2160" w:hanging="360"/>
      </w:pPr>
      <w:rPr>
        <w:rFonts w:ascii="Wingdings" w:hAnsi="Wingdings" w:hint="default"/>
      </w:rPr>
    </w:lvl>
    <w:lvl w:ilvl="3" w:tplc="B62AF694">
      <w:start w:val="1"/>
      <w:numFmt w:val="bullet"/>
      <w:lvlText w:val=""/>
      <w:lvlJc w:val="left"/>
      <w:pPr>
        <w:ind w:left="2880" w:hanging="360"/>
      </w:pPr>
      <w:rPr>
        <w:rFonts w:ascii="Symbol" w:hAnsi="Symbol" w:hint="default"/>
      </w:rPr>
    </w:lvl>
    <w:lvl w:ilvl="4" w:tplc="3CBC51DA">
      <w:start w:val="1"/>
      <w:numFmt w:val="bullet"/>
      <w:lvlText w:val="o"/>
      <w:lvlJc w:val="left"/>
      <w:pPr>
        <w:ind w:left="3600" w:hanging="360"/>
      </w:pPr>
      <w:rPr>
        <w:rFonts w:ascii="Courier New" w:hAnsi="Courier New" w:hint="default"/>
      </w:rPr>
    </w:lvl>
    <w:lvl w:ilvl="5" w:tplc="8E862216">
      <w:start w:val="1"/>
      <w:numFmt w:val="bullet"/>
      <w:lvlText w:val=""/>
      <w:lvlJc w:val="left"/>
      <w:pPr>
        <w:ind w:left="4320" w:hanging="360"/>
      </w:pPr>
      <w:rPr>
        <w:rFonts w:ascii="Wingdings" w:hAnsi="Wingdings" w:hint="default"/>
      </w:rPr>
    </w:lvl>
    <w:lvl w:ilvl="6" w:tplc="0AFCE588">
      <w:start w:val="1"/>
      <w:numFmt w:val="bullet"/>
      <w:lvlText w:val=""/>
      <w:lvlJc w:val="left"/>
      <w:pPr>
        <w:ind w:left="5040" w:hanging="360"/>
      </w:pPr>
      <w:rPr>
        <w:rFonts w:ascii="Symbol" w:hAnsi="Symbol" w:hint="default"/>
      </w:rPr>
    </w:lvl>
    <w:lvl w:ilvl="7" w:tplc="20E0985C">
      <w:start w:val="1"/>
      <w:numFmt w:val="bullet"/>
      <w:lvlText w:val="o"/>
      <w:lvlJc w:val="left"/>
      <w:pPr>
        <w:ind w:left="5760" w:hanging="360"/>
      </w:pPr>
      <w:rPr>
        <w:rFonts w:ascii="Courier New" w:hAnsi="Courier New" w:hint="default"/>
      </w:rPr>
    </w:lvl>
    <w:lvl w:ilvl="8" w:tplc="902416A6">
      <w:start w:val="1"/>
      <w:numFmt w:val="bullet"/>
      <w:lvlText w:val=""/>
      <w:lvlJc w:val="left"/>
      <w:pPr>
        <w:ind w:left="6480" w:hanging="360"/>
      </w:pPr>
      <w:rPr>
        <w:rFonts w:ascii="Wingdings" w:hAnsi="Wingdings" w:hint="default"/>
      </w:rPr>
    </w:lvl>
  </w:abstractNum>
  <w:abstractNum w:abstractNumId="14" w15:restartNumberingAfterBreak="0">
    <w:nsid w:val="225D12F4"/>
    <w:multiLevelType w:val="hybridMultilevel"/>
    <w:tmpl w:val="C1AA07C2"/>
    <w:lvl w:ilvl="0" w:tplc="CFC44D10">
      <w:start w:val="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9290F"/>
    <w:multiLevelType w:val="hybridMultilevel"/>
    <w:tmpl w:val="D13CA50E"/>
    <w:lvl w:ilvl="0" w:tplc="9A88BAE2">
      <w:start w:val="1"/>
      <w:numFmt w:val="decimal"/>
      <w:lvlText w:val="%1."/>
      <w:lvlJc w:val="left"/>
      <w:pPr>
        <w:ind w:left="360" w:hanging="360"/>
      </w:pPr>
      <w:rPr>
        <w:b/>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ACC4114"/>
    <w:multiLevelType w:val="hybridMultilevel"/>
    <w:tmpl w:val="C2B2D7B4"/>
    <w:lvl w:ilvl="0" w:tplc="C81EDB8A">
      <w:start w:val="1"/>
      <w:numFmt w:val="decimal"/>
      <w:lvlText w:val="%1."/>
      <w:lvlJc w:val="left"/>
      <w:pPr>
        <w:ind w:left="720" w:hanging="360"/>
      </w:pPr>
    </w:lvl>
    <w:lvl w:ilvl="1" w:tplc="C0DA2176">
      <w:start w:val="1"/>
      <w:numFmt w:val="bullet"/>
      <w:lvlText w:val="o"/>
      <w:lvlJc w:val="left"/>
      <w:pPr>
        <w:ind w:left="1440" w:hanging="360"/>
      </w:pPr>
      <w:rPr>
        <w:rFonts w:ascii="Courier New" w:hAnsi="Courier New" w:hint="default"/>
      </w:rPr>
    </w:lvl>
    <w:lvl w:ilvl="2" w:tplc="FC249FB0">
      <w:start w:val="1"/>
      <w:numFmt w:val="bullet"/>
      <w:lvlText w:val=""/>
      <w:lvlJc w:val="left"/>
      <w:pPr>
        <w:ind w:left="2160" w:hanging="360"/>
      </w:pPr>
      <w:rPr>
        <w:rFonts w:ascii="Wingdings" w:hAnsi="Wingdings" w:hint="default"/>
      </w:rPr>
    </w:lvl>
    <w:lvl w:ilvl="3" w:tplc="A15A69FE">
      <w:start w:val="1"/>
      <w:numFmt w:val="bullet"/>
      <w:lvlText w:val=""/>
      <w:lvlJc w:val="left"/>
      <w:pPr>
        <w:ind w:left="2880" w:hanging="360"/>
      </w:pPr>
      <w:rPr>
        <w:rFonts w:ascii="Symbol" w:hAnsi="Symbol" w:hint="default"/>
      </w:rPr>
    </w:lvl>
    <w:lvl w:ilvl="4" w:tplc="CA940B74">
      <w:start w:val="1"/>
      <w:numFmt w:val="bullet"/>
      <w:lvlText w:val="o"/>
      <w:lvlJc w:val="left"/>
      <w:pPr>
        <w:ind w:left="3600" w:hanging="360"/>
      </w:pPr>
      <w:rPr>
        <w:rFonts w:ascii="Courier New" w:hAnsi="Courier New" w:hint="default"/>
      </w:rPr>
    </w:lvl>
    <w:lvl w:ilvl="5" w:tplc="C2DAC04A">
      <w:start w:val="1"/>
      <w:numFmt w:val="bullet"/>
      <w:lvlText w:val=""/>
      <w:lvlJc w:val="left"/>
      <w:pPr>
        <w:ind w:left="4320" w:hanging="360"/>
      </w:pPr>
      <w:rPr>
        <w:rFonts w:ascii="Wingdings" w:hAnsi="Wingdings" w:hint="default"/>
      </w:rPr>
    </w:lvl>
    <w:lvl w:ilvl="6" w:tplc="603AFADA">
      <w:start w:val="1"/>
      <w:numFmt w:val="bullet"/>
      <w:lvlText w:val=""/>
      <w:lvlJc w:val="left"/>
      <w:pPr>
        <w:ind w:left="5040" w:hanging="360"/>
      </w:pPr>
      <w:rPr>
        <w:rFonts w:ascii="Symbol" w:hAnsi="Symbol" w:hint="default"/>
      </w:rPr>
    </w:lvl>
    <w:lvl w:ilvl="7" w:tplc="4A70FDD8">
      <w:start w:val="1"/>
      <w:numFmt w:val="bullet"/>
      <w:lvlText w:val="o"/>
      <w:lvlJc w:val="left"/>
      <w:pPr>
        <w:ind w:left="5760" w:hanging="360"/>
      </w:pPr>
      <w:rPr>
        <w:rFonts w:ascii="Courier New" w:hAnsi="Courier New" w:hint="default"/>
      </w:rPr>
    </w:lvl>
    <w:lvl w:ilvl="8" w:tplc="F8A09DFE">
      <w:start w:val="1"/>
      <w:numFmt w:val="bullet"/>
      <w:lvlText w:val=""/>
      <w:lvlJc w:val="left"/>
      <w:pPr>
        <w:ind w:left="648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A00C95"/>
    <w:multiLevelType w:val="hybridMultilevel"/>
    <w:tmpl w:val="BB4E2878"/>
    <w:lvl w:ilvl="0" w:tplc="F43C3B12">
      <w:start w:val="1"/>
      <w:numFmt w:val="bullet"/>
      <w:lvlText w:val=""/>
      <w:lvlJc w:val="left"/>
      <w:pPr>
        <w:ind w:left="720" w:hanging="360"/>
      </w:pPr>
      <w:rPr>
        <w:rFonts w:ascii="Symbol" w:hAnsi="Symbol" w:hint="default"/>
      </w:rPr>
    </w:lvl>
    <w:lvl w:ilvl="1" w:tplc="7DEC2A4E">
      <w:start w:val="1"/>
      <w:numFmt w:val="bullet"/>
      <w:lvlText w:val="o"/>
      <w:lvlJc w:val="left"/>
      <w:pPr>
        <w:ind w:left="1440" w:hanging="360"/>
      </w:pPr>
      <w:rPr>
        <w:rFonts w:ascii="Courier New" w:hAnsi="Courier New" w:hint="default"/>
      </w:rPr>
    </w:lvl>
    <w:lvl w:ilvl="2" w:tplc="5F20E1EA">
      <w:start w:val="1"/>
      <w:numFmt w:val="bullet"/>
      <w:lvlText w:val=""/>
      <w:lvlJc w:val="left"/>
      <w:pPr>
        <w:ind w:left="2160" w:hanging="360"/>
      </w:pPr>
      <w:rPr>
        <w:rFonts w:ascii="Wingdings" w:hAnsi="Wingdings" w:hint="default"/>
      </w:rPr>
    </w:lvl>
    <w:lvl w:ilvl="3" w:tplc="8E2467B2">
      <w:start w:val="1"/>
      <w:numFmt w:val="bullet"/>
      <w:lvlText w:val=""/>
      <w:lvlJc w:val="left"/>
      <w:pPr>
        <w:ind w:left="2880" w:hanging="360"/>
      </w:pPr>
      <w:rPr>
        <w:rFonts w:ascii="Symbol" w:hAnsi="Symbol" w:hint="default"/>
      </w:rPr>
    </w:lvl>
    <w:lvl w:ilvl="4" w:tplc="743CB7F4">
      <w:start w:val="1"/>
      <w:numFmt w:val="bullet"/>
      <w:lvlText w:val="o"/>
      <w:lvlJc w:val="left"/>
      <w:pPr>
        <w:ind w:left="3600" w:hanging="360"/>
      </w:pPr>
      <w:rPr>
        <w:rFonts w:ascii="Courier New" w:hAnsi="Courier New" w:hint="default"/>
      </w:rPr>
    </w:lvl>
    <w:lvl w:ilvl="5" w:tplc="7D4688CA">
      <w:start w:val="1"/>
      <w:numFmt w:val="bullet"/>
      <w:lvlText w:val=""/>
      <w:lvlJc w:val="left"/>
      <w:pPr>
        <w:ind w:left="4320" w:hanging="360"/>
      </w:pPr>
      <w:rPr>
        <w:rFonts w:ascii="Wingdings" w:hAnsi="Wingdings" w:hint="default"/>
      </w:rPr>
    </w:lvl>
    <w:lvl w:ilvl="6" w:tplc="2DC2E0DA">
      <w:start w:val="1"/>
      <w:numFmt w:val="bullet"/>
      <w:lvlText w:val=""/>
      <w:lvlJc w:val="left"/>
      <w:pPr>
        <w:ind w:left="5040" w:hanging="360"/>
      </w:pPr>
      <w:rPr>
        <w:rFonts w:ascii="Symbol" w:hAnsi="Symbol" w:hint="default"/>
      </w:rPr>
    </w:lvl>
    <w:lvl w:ilvl="7" w:tplc="C99C0BCE">
      <w:start w:val="1"/>
      <w:numFmt w:val="bullet"/>
      <w:lvlText w:val="o"/>
      <w:lvlJc w:val="left"/>
      <w:pPr>
        <w:ind w:left="5760" w:hanging="360"/>
      </w:pPr>
      <w:rPr>
        <w:rFonts w:ascii="Courier New" w:hAnsi="Courier New" w:hint="default"/>
      </w:rPr>
    </w:lvl>
    <w:lvl w:ilvl="8" w:tplc="2B0E2D16">
      <w:start w:val="1"/>
      <w:numFmt w:val="bullet"/>
      <w:lvlText w:val=""/>
      <w:lvlJc w:val="left"/>
      <w:pPr>
        <w:ind w:left="6480" w:hanging="360"/>
      </w:pPr>
      <w:rPr>
        <w:rFonts w:ascii="Wingdings" w:hAnsi="Wingdings" w:hint="default"/>
      </w:rPr>
    </w:lvl>
  </w:abstractNum>
  <w:abstractNum w:abstractNumId="21" w15:restartNumberingAfterBreak="0">
    <w:nsid w:val="6C3E4D21"/>
    <w:multiLevelType w:val="hybridMultilevel"/>
    <w:tmpl w:val="2C5ADF82"/>
    <w:lvl w:ilvl="0" w:tplc="D66689D4">
      <w:start w:val="2"/>
      <w:numFmt w:val="bullet"/>
      <w:lvlText w:val=""/>
      <w:lvlJc w:val="left"/>
      <w:pPr>
        <w:ind w:left="720" w:hanging="360"/>
      </w:pPr>
      <w:rPr>
        <w:rFonts w:ascii="Symbol" w:eastAsia="Times New Roman" w:hAnsi="Symbo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E7E1B"/>
    <w:multiLevelType w:val="hybridMultilevel"/>
    <w:tmpl w:val="614E7EB6"/>
    <w:lvl w:ilvl="0" w:tplc="FC981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60A28"/>
    <w:multiLevelType w:val="hybridMultilevel"/>
    <w:tmpl w:val="01F4510E"/>
    <w:lvl w:ilvl="0" w:tplc="0E7AE046">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C4428"/>
    <w:multiLevelType w:val="hybridMultilevel"/>
    <w:tmpl w:val="ADC04E86"/>
    <w:lvl w:ilvl="0" w:tplc="C76ADDC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87B18"/>
    <w:multiLevelType w:val="hybridMultilevel"/>
    <w:tmpl w:val="FFEA6526"/>
    <w:lvl w:ilvl="0" w:tplc="2CB0A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3068B"/>
    <w:multiLevelType w:val="hybridMultilevel"/>
    <w:tmpl w:val="191243AA"/>
    <w:lvl w:ilvl="0" w:tplc="FA6CAC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17"/>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6"/>
  </w:num>
  <w:num w:numId="19">
    <w:abstractNumId w:val="15"/>
  </w:num>
  <w:num w:numId="20">
    <w:abstractNumId w:val="11"/>
  </w:num>
  <w:num w:numId="21">
    <w:abstractNumId w:val="23"/>
  </w:num>
  <w:num w:numId="22">
    <w:abstractNumId w:val="12"/>
  </w:num>
  <w:num w:numId="23">
    <w:abstractNumId w:val="22"/>
  </w:num>
  <w:num w:numId="24">
    <w:abstractNumId w:val="27"/>
  </w:num>
  <w:num w:numId="25">
    <w:abstractNumId w:val="24"/>
  </w:num>
  <w:num w:numId="26">
    <w:abstractNumId w:val="25"/>
  </w:num>
  <w:num w:numId="27">
    <w:abstractNumId w:val="21"/>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0D"/>
    <w:rsid w:val="00004062"/>
    <w:rsid w:val="000052AA"/>
    <w:rsid w:val="000071ED"/>
    <w:rsid w:val="00011238"/>
    <w:rsid w:val="00013E91"/>
    <w:rsid w:val="00014256"/>
    <w:rsid w:val="0001491C"/>
    <w:rsid w:val="00015229"/>
    <w:rsid w:val="00015BD5"/>
    <w:rsid w:val="0001602A"/>
    <w:rsid w:val="000206D5"/>
    <w:rsid w:val="000232C8"/>
    <w:rsid w:val="00025D61"/>
    <w:rsid w:val="00025F68"/>
    <w:rsid w:val="00026B20"/>
    <w:rsid w:val="000274B9"/>
    <w:rsid w:val="00027ADB"/>
    <w:rsid w:val="000312DE"/>
    <w:rsid w:val="0003551B"/>
    <w:rsid w:val="0003657B"/>
    <w:rsid w:val="00037288"/>
    <w:rsid w:val="000412DD"/>
    <w:rsid w:val="000423C1"/>
    <w:rsid w:val="00043F8E"/>
    <w:rsid w:val="00045952"/>
    <w:rsid w:val="00046719"/>
    <w:rsid w:val="0005169E"/>
    <w:rsid w:val="00053BE0"/>
    <w:rsid w:val="00056992"/>
    <w:rsid w:val="00060702"/>
    <w:rsid w:val="00060817"/>
    <w:rsid w:val="00064155"/>
    <w:rsid w:val="000646A9"/>
    <w:rsid w:val="00065416"/>
    <w:rsid w:val="000663B6"/>
    <w:rsid w:val="00071367"/>
    <w:rsid w:val="00071D88"/>
    <w:rsid w:val="000734FF"/>
    <w:rsid w:val="00074DA7"/>
    <w:rsid w:val="00075048"/>
    <w:rsid w:val="00076A61"/>
    <w:rsid w:val="00077C40"/>
    <w:rsid w:val="00080CFE"/>
    <w:rsid w:val="00081FBE"/>
    <w:rsid w:val="0008444C"/>
    <w:rsid w:val="0008718F"/>
    <w:rsid w:val="0009073E"/>
    <w:rsid w:val="000954C3"/>
    <w:rsid w:val="000958E4"/>
    <w:rsid w:val="00096746"/>
    <w:rsid w:val="000A6A44"/>
    <w:rsid w:val="000B028D"/>
    <w:rsid w:val="000B0D19"/>
    <w:rsid w:val="000B1110"/>
    <w:rsid w:val="000B3CA3"/>
    <w:rsid w:val="000B4B3B"/>
    <w:rsid w:val="000B4B98"/>
    <w:rsid w:val="000B545B"/>
    <w:rsid w:val="000C0019"/>
    <w:rsid w:val="000C0E82"/>
    <w:rsid w:val="000C24AD"/>
    <w:rsid w:val="000C39B3"/>
    <w:rsid w:val="000C5C29"/>
    <w:rsid w:val="000D4DB6"/>
    <w:rsid w:val="000D6652"/>
    <w:rsid w:val="000E0188"/>
    <w:rsid w:val="000E2050"/>
    <w:rsid w:val="000E45E2"/>
    <w:rsid w:val="000E6898"/>
    <w:rsid w:val="000F23A8"/>
    <w:rsid w:val="000F3600"/>
    <w:rsid w:val="000F437E"/>
    <w:rsid w:val="000F576D"/>
    <w:rsid w:val="000F6DE2"/>
    <w:rsid w:val="00102920"/>
    <w:rsid w:val="001053CB"/>
    <w:rsid w:val="001054FA"/>
    <w:rsid w:val="0010645D"/>
    <w:rsid w:val="00110081"/>
    <w:rsid w:val="00110484"/>
    <w:rsid w:val="00110F6D"/>
    <w:rsid w:val="00111103"/>
    <w:rsid w:val="0011181D"/>
    <w:rsid w:val="00111C70"/>
    <w:rsid w:val="00113129"/>
    <w:rsid w:val="0011419E"/>
    <w:rsid w:val="00124529"/>
    <w:rsid w:val="00126A31"/>
    <w:rsid w:val="001276F1"/>
    <w:rsid w:val="001306F2"/>
    <w:rsid w:val="00131D45"/>
    <w:rsid w:val="001340E4"/>
    <w:rsid w:val="00134274"/>
    <w:rsid w:val="00134765"/>
    <w:rsid w:val="00136D11"/>
    <w:rsid w:val="001370AC"/>
    <w:rsid w:val="00141BB2"/>
    <w:rsid w:val="00144354"/>
    <w:rsid w:val="0014440B"/>
    <w:rsid w:val="00146D15"/>
    <w:rsid w:val="00147F12"/>
    <w:rsid w:val="0015414E"/>
    <w:rsid w:val="00154A65"/>
    <w:rsid w:val="00156363"/>
    <w:rsid w:val="001573DF"/>
    <w:rsid w:val="001611CF"/>
    <w:rsid w:val="00165002"/>
    <w:rsid w:val="00166275"/>
    <w:rsid w:val="001702F0"/>
    <w:rsid w:val="001724A3"/>
    <w:rsid w:val="00173760"/>
    <w:rsid w:val="0017480D"/>
    <w:rsid w:val="001759B1"/>
    <w:rsid w:val="0017614B"/>
    <w:rsid w:val="00177228"/>
    <w:rsid w:val="001804C9"/>
    <w:rsid w:val="00180ED5"/>
    <w:rsid w:val="00182BEF"/>
    <w:rsid w:val="001833B4"/>
    <w:rsid w:val="00185B35"/>
    <w:rsid w:val="00186582"/>
    <w:rsid w:val="0018724D"/>
    <w:rsid w:val="001872C6"/>
    <w:rsid w:val="00190A48"/>
    <w:rsid w:val="0019254F"/>
    <w:rsid w:val="00194A43"/>
    <w:rsid w:val="00196B11"/>
    <w:rsid w:val="001A0D8B"/>
    <w:rsid w:val="001A1169"/>
    <w:rsid w:val="001A3DD7"/>
    <w:rsid w:val="001B23C3"/>
    <w:rsid w:val="001B56EF"/>
    <w:rsid w:val="001C017E"/>
    <w:rsid w:val="001C1962"/>
    <w:rsid w:val="001C1CC1"/>
    <w:rsid w:val="001C6AD6"/>
    <w:rsid w:val="001C75FA"/>
    <w:rsid w:val="001D02B4"/>
    <w:rsid w:val="001D3D0F"/>
    <w:rsid w:val="001D486B"/>
    <w:rsid w:val="001D7886"/>
    <w:rsid w:val="001E0CA8"/>
    <w:rsid w:val="001E16D5"/>
    <w:rsid w:val="001E1E4F"/>
    <w:rsid w:val="001E2858"/>
    <w:rsid w:val="001E3302"/>
    <w:rsid w:val="001E6B6D"/>
    <w:rsid w:val="001F0124"/>
    <w:rsid w:val="001F253D"/>
    <w:rsid w:val="001F2945"/>
    <w:rsid w:val="001F3AE4"/>
    <w:rsid w:val="001F4231"/>
    <w:rsid w:val="001F4F3F"/>
    <w:rsid w:val="001F4FF2"/>
    <w:rsid w:val="001F5CC2"/>
    <w:rsid w:val="001F6202"/>
    <w:rsid w:val="001F6345"/>
    <w:rsid w:val="001F71D6"/>
    <w:rsid w:val="001F7FB0"/>
    <w:rsid w:val="00202E90"/>
    <w:rsid w:val="002036FE"/>
    <w:rsid w:val="00204E2A"/>
    <w:rsid w:val="002058DE"/>
    <w:rsid w:val="00207DA6"/>
    <w:rsid w:val="00210582"/>
    <w:rsid w:val="0021223A"/>
    <w:rsid w:val="0022140B"/>
    <w:rsid w:val="002241A0"/>
    <w:rsid w:val="0022429B"/>
    <w:rsid w:val="00224D50"/>
    <w:rsid w:val="002266CE"/>
    <w:rsid w:val="0023165B"/>
    <w:rsid w:val="00231CCD"/>
    <w:rsid w:val="00233F2F"/>
    <w:rsid w:val="00234A17"/>
    <w:rsid w:val="002359F6"/>
    <w:rsid w:val="00240B57"/>
    <w:rsid w:val="0024158B"/>
    <w:rsid w:val="00243D65"/>
    <w:rsid w:val="00244478"/>
    <w:rsid w:val="002448B7"/>
    <w:rsid w:val="00244A41"/>
    <w:rsid w:val="002459AC"/>
    <w:rsid w:val="00251FD1"/>
    <w:rsid w:val="00252AEB"/>
    <w:rsid w:val="00254B82"/>
    <w:rsid w:val="00255C00"/>
    <w:rsid w:val="00255FD8"/>
    <w:rsid w:val="00261365"/>
    <w:rsid w:val="0026165C"/>
    <w:rsid w:val="00261FD9"/>
    <w:rsid w:val="00263011"/>
    <w:rsid w:val="00264643"/>
    <w:rsid w:val="00267073"/>
    <w:rsid w:val="0026728A"/>
    <w:rsid w:val="00267B34"/>
    <w:rsid w:val="00270C9F"/>
    <w:rsid w:val="00272679"/>
    <w:rsid w:val="00274A8B"/>
    <w:rsid w:val="00274B04"/>
    <w:rsid w:val="002817A9"/>
    <w:rsid w:val="0028240F"/>
    <w:rsid w:val="00283478"/>
    <w:rsid w:val="00283ABD"/>
    <w:rsid w:val="002844C1"/>
    <w:rsid w:val="0028674D"/>
    <w:rsid w:val="0028771C"/>
    <w:rsid w:val="0028793D"/>
    <w:rsid w:val="002910EB"/>
    <w:rsid w:val="002919A4"/>
    <w:rsid w:val="00294D5B"/>
    <w:rsid w:val="002954F7"/>
    <w:rsid w:val="00297774"/>
    <w:rsid w:val="00297CBC"/>
    <w:rsid w:val="002A014B"/>
    <w:rsid w:val="002A2967"/>
    <w:rsid w:val="002A2D13"/>
    <w:rsid w:val="002A56A1"/>
    <w:rsid w:val="002A7222"/>
    <w:rsid w:val="002B3161"/>
    <w:rsid w:val="002B5A63"/>
    <w:rsid w:val="002B6CFE"/>
    <w:rsid w:val="002B70F3"/>
    <w:rsid w:val="002B7B5B"/>
    <w:rsid w:val="002C10C0"/>
    <w:rsid w:val="002C2848"/>
    <w:rsid w:val="002C4C9B"/>
    <w:rsid w:val="002C7509"/>
    <w:rsid w:val="002D10F2"/>
    <w:rsid w:val="002E03AF"/>
    <w:rsid w:val="002E423B"/>
    <w:rsid w:val="002F06F6"/>
    <w:rsid w:val="002F2C4D"/>
    <w:rsid w:val="003007E3"/>
    <w:rsid w:val="0030441F"/>
    <w:rsid w:val="00304A3F"/>
    <w:rsid w:val="00305112"/>
    <w:rsid w:val="00305DD2"/>
    <w:rsid w:val="00312321"/>
    <w:rsid w:val="00314341"/>
    <w:rsid w:val="003210F4"/>
    <w:rsid w:val="00321577"/>
    <w:rsid w:val="00325DD6"/>
    <w:rsid w:val="00326C5D"/>
    <w:rsid w:val="003279F1"/>
    <w:rsid w:val="003310D6"/>
    <w:rsid w:val="00341CB9"/>
    <w:rsid w:val="00343E6F"/>
    <w:rsid w:val="00346390"/>
    <w:rsid w:val="00351536"/>
    <w:rsid w:val="003545EF"/>
    <w:rsid w:val="00360E76"/>
    <w:rsid w:val="00363C2A"/>
    <w:rsid w:val="003644ED"/>
    <w:rsid w:val="00365A59"/>
    <w:rsid w:val="00366646"/>
    <w:rsid w:val="00366D6F"/>
    <w:rsid w:val="003676AD"/>
    <w:rsid w:val="003702BC"/>
    <w:rsid w:val="00371EB9"/>
    <w:rsid w:val="003743F6"/>
    <w:rsid w:val="00375805"/>
    <w:rsid w:val="003774A5"/>
    <w:rsid w:val="00377748"/>
    <w:rsid w:val="00377BE6"/>
    <w:rsid w:val="00380737"/>
    <w:rsid w:val="00381F27"/>
    <w:rsid w:val="003839EC"/>
    <w:rsid w:val="00384760"/>
    <w:rsid w:val="003850D1"/>
    <w:rsid w:val="00385636"/>
    <w:rsid w:val="00386207"/>
    <w:rsid w:val="003900FE"/>
    <w:rsid w:val="00391B1C"/>
    <w:rsid w:val="00394929"/>
    <w:rsid w:val="00396811"/>
    <w:rsid w:val="003A0658"/>
    <w:rsid w:val="003A30D0"/>
    <w:rsid w:val="003B31A9"/>
    <w:rsid w:val="003B3B35"/>
    <w:rsid w:val="003B63E2"/>
    <w:rsid w:val="003B6C02"/>
    <w:rsid w:val="003C0961"/>
    <w:rsid w:val="003C4A09"/>
    <w:rsid w:val="003C59D3"/>
    <w:rsid w:val="003C60EB"/>
    <w:rsid w:val="003D1161"/>
    <w:rsid w:val="003D1583"/>
    <w:rsid w:val="003D2D5C"/>
    <w:rsid w:val="003D44C9"/>
    <w:rsid w:val="003D5E3D"/>
    <w:rsid w:val="003E0CF4"/>
    <w:rsid w:val="003E0F02"/>
    <w:rsid w:val="003E1AF6"/>
    <w:rsid w:val="003E3740"/>
    <w:rsid w:val="003E3EE2"/>
    <w:rsid w:val="003E467D"/>
    <w:rsid w:val="003E6066"/>
    <w:rsid w:val="003F082C"/>
    <w:rsid w:val="003F639B"/>
    <w:rsid w:val="004000D6"/>
    <w:rsid w:val="004007D7"/>
    <w:rsid w:val="0040416E"/>
    <w:rsid w:val="00404DC8"/>
    <w:rsid w:val="004113B3"/>
    <w:rsid w:val="00413C9C"/>
    <w:rsid w:val="00413E9D"/>
    <w:rsid w:val="00414526"/>
    <w:rsid w:val="004216F0"/>
    <w:rsid w:val="0042518F"/>
    <w:rsid w:val="00431AF3"/>
    <w:rsid w:val="00431DFD"/>
    <w:rsid w:val="00432DA7"/>
    <w:rsid w:val="00435A79"/>
    <w:rsid w:val="00435C36"/>
    <w:rsid w:val="00436538"/>
    <w:rsid w:val="004366DB"/>
    <w:rsid w:val="004373E1"/>
    <w:rsid w:val="00437B78"/>
    <w:rsid w:val="004452ED"/>
    <w:rsid w:val="00445470"/>
    <w:rsid w:val="00452537"/>
    <w:rsid w:val="0045704B"/>
    <w:rsid w:val="004573E3"/>
    <w:rsid w:val="0046138D"/>
    <w:rsid w:val="004616E3"/>
    <w:rsid w:val="00462CB3"/>
    <w:rsid w:val="00462DAA"/>
    <w:rsid w:val="00463962"/>
    <w:rsid w:val="00464158"/>
    <w:rsid w:val="00464239"/>
    <w:rsid w:val="0046444B"/>
    <w:rsid w:val="004653BD"/>
    <w:rsid w:val="004671DC"/>
    <w:rsid w:val="00467842"/>
    <w:rsid w:val="00472150"/>
    <w:rsid w:val="00475230"/>
    <w:rsid w:val="00475DEE"/>
    <w:rsid w:val="004771A7"/>
    <w:rsid w:val="0048498A"/>
    <w:rsid w:val="00485E7C"/>
    <w:rsid w:val="00486030"/>
    <w:rsid w:val="00492719"/>
    <w:rsid w:val="004938FE"/>
    <w:rsid w:val="00494321"/>
    <w:rsid w:val="00494AA6"/>
    <w:rsid w:val="00497077"/>
    <w:rsid w:val="004A0029"/>
    <w:rsid w:val="004A04F9"/>
    <w:rsid w:val="004A2D6A"/>
    <w:rsid w:val="004A3863"/>
    <w:rsid w:val="004A6100"/>
    <w:rsid w:val="004B0306"/>
    <w:rsid w:val="004B67BF"/>
    <w:rsid w:val="004B7740"/>
    <w:rsid w:val="004C1ECE"/>
    <w:rsid w:val="004C2D84"/>
    <w:rsid w:val="004C4391"/>
    <w:rsid w:val="004C52DE"/>
    <w:rsid w:val="004C7FAB"/>
    <w:rsid w:val="004D1599"/>
    <w:rsid w:val="004D2EA4"/>
    <w:rsid w:val="004D4477"/>
    <w:rsid w:val="004D5492"/>
    <w:rsid w:val="004D572E"/>
    <w:rsid w:val="004D65BD"/>
    <w:rsid w:val="004D72EA"/>
    <w:rsid w:val="004E1021"/>
    <w:rsid w:val="004E124C"/>
    <w:rsid w:val="004E15DC"/>
    <w:rsid w:val="004E1E2A"/>
    <w:rsid w:val="004E49DE"/>
    <w:rsid w:val="004E50B6"/>
    <w:rsid w:val="004E5CB5"/>
    <w:rsid w:val="004E786B"/>
    <w:rsid w:val="004F00D1"/>
    <w:rsid w:val="004F4F8D"/>
    <w:rsid w:val="005005F2"/>
    <w:rsid w:val="005010D9"/>
    <w:rsid w:val="005015A0"/>
    <w:rsid w:val="00502238"/>
    <w:rsid w:val="00503321"/>
    <w:rsid w:val="0050365E"/>
    <w:rsid w:val="0050511D"/>
    <w:rsid w:val="005064B5"/>
    <w:rsid w:val="00507A75"/>
    <w:rsid w:val="00510AD8"/>
    <w:rsid w:val="005121FE"/>
    <w:rsid w:val="00512E19"/>
    <w:rsid w:val="00516677"/>
    <w:rsid w:val="00520B16"/>
    <w:rsid w:val="005230F5"/>
    <w:rsid w:val="00523678"/>
    <w:rsid w:val="005247D6"/>
    <w:rsid w:val="00530D69"/>
    <w:rsid w:val="00531679"/>
    <w:rsid w:val="00531705"/>
    <w:rsid w:val="00531E67"/>
    <w:rsid w:val="00535487"/>
    <w:rsid w:val="005358B6"/>
    <w:rsid w:val="00536AAE"/>
    <w:rsid w:val="00536FC6"/>
    <w:rsid w:val="005416E4"/>
    <w:rsid w:val="00541EC9"/>
    <w:rsid w:val="0054496E"/>
    <w:rsid w:val="00545200"/>
    <w:rsid w:val="005540BA"/>
    <w:rsid w:val="00556D37"/>
    <w:rsid w:val="00560D9A"/>
    <w:rsid w:val="00561841"/>
    <w:rsid w:val="005625D7"/>
    <w:rsid w:val="005647FB"/>
    <w:rsid w:val="00566B25"/>
    <w:rsid w:val="0057082B"/>
    <w:rsid w:val="00572DD0"/>
    <w:rsid w:val="005742EC"/>
    <w:rsid w:val="00585054"/>
    <w:rsid w:val="00590B04"/>
    <w:rsid w:val="00592ACF"/>
    <w:rsid w:val="00595563"/>
    <w:rsid w:val="005A11EE"/>
    <w:rsid w:val="005A43E5"/>
    <w:rsid w:val="005A458C"/>
    <w:rsid w:val="005A4E4A"/>
    <w:rsid w:val="005B0501"/>
    <w:rsid w:val="005B082B"/>
    <w:rsid w:val="005B2E0F"/>
    <w:rsid w:val="005B3C34"/>
    <w:rsid w:val="005B50B7"/>
    <w:rsid w:val="005B5EDD"/>
    <w:rsid w:val="005B6006"/>
    <w:rsid w:val="005B7970"/>
    <w:rsid w:val="005C12FC"/>
    <w:rsid w:val="005C14F8"/>
    <w:rsid w:val="005C279D"/>
    <w:rsid w:val="005C4432"/>
    <w:rsid w:val="005D1F48"/>
    <w:rsid w:val="005D5584"/>
    <w:rsid w:val="005D7CBD"/>
    <w:rsid w:val="005E1928"/>
    <w:rsid w:val="005E2188"/>
    <w:rsid w:val="005E2A73"/>
    <w:rsid w:val="005E2B58"/>
    <w:rsid w:val="005E3544"/>
    <w:rsid w:val="005E3CA4"/>
    <w:rsid w:val="005E490E"/>
    <w:rsid w:val="005E58A9"/>
    <w:rsid w:val="005F0E9A"/>
    <w:rsid w:val="005F3319"/>
    <w:rsid w:val="005F4A60"/>
    <w:rsid w:val="005F4AD5"/>
    <w:rsid w:val="005F7622"/>
    <w:rsid w:val="00606BC3"/>
    <w:rsid w:val="00610071"/>
    <w:rsid w:val="006172BA"/>
    <w:rsid w:val="006205A9"/>
    <w:rsid w:val="00621502"/>
    <w:rsid w:val="00624456"/>
    <w:rsid w:val="00631599"/>
    <w:rsid w:val="006328DD"/>
    <w:rsid w:val="006341AF"/>
    <w:rsid w:val="00634320"/>
    <w:rsid w:val="00636128"/>
    <w:rsid w:val="00636766"/>
    <w:rsid w:val="00637B3B"/>
    <w:rsid w:val="006401BB"/>
    <w:rsid w:val="00640B4F"/>
    <w:rsid w:val="00642BE0"/>
    <w:rsid w:val="00642F90"/>
    <w:rsid w:val="00645A5F"/>
    <w:rsid w:val="0065081C"/>
    <w:rsid w:val="0065189E"/>
    <w:rsid w:val="00652F14"/>
    <w:rsid w:val="00653177"/>
    <w:rsid w:val="00660C0B"/>
    <w:rsid w:val="00662B81"/>
    <w:rsid w:val="00663E8F"/>
    <w:rsid w:val="0066411A"/>
    <w:rsid w:val="00664560"/>
    <w:rsid w:val="0066462C"/>
    <w:rsid w:val="0066476F"/>
    <w:rsid w:val="00665EFC"/>
    <w:rsid w:val="00665F27"/>
    <w:rsid w:val="00666BB1"/>
    <w:rsid w:val="0067370F"/>
    <w:rsid w:val="00676C85"/>
    <w:rsid w:val="006770CD"/>
    <w:rsid w:val="00682BA8"/>
    <w:rsid w:val="00687ABD"/>
    <w:rsid w:val="00687BB7"/>
    <w:rsid w:val="00690EE4"/>
    <w:rsid w:val="0069117E"/>
    <w:rsid w:val="00692834"/>
    <w:rsid w:val="006929C6"/>
    <w:rsid w:val="006965EA"/>
    <w:rsid w:val="006A02C5"/>
    <w:rsid w:val="006A0351"/>
    <w:rsid w:val="006A0D7E"/>
    <w:rsid w:val="006A126D"/>
    <w:rsid w:val="006A28F3"/>
    <w:rsid w:val="006A7F27"/>
    <w:rsid w:val="006B028D"/>
    <w:rsid w:val="006B03A7"/>
    <w:rsid w:val="006B147F"/>
    <w:rsid w:val="006B18AC"/>
    <w:rsid w:val="006B4CDA"/>
    <w:rsid w:val="006B4D42"/>
    <w:rsid w:val="006B6264"/>
    <w:rsid w:val="006C5712"/>
    <w:rsid w:val="006D3C96"/>
    <w:rsid w:val="006D5CD2"/>
    <w:rsid w:val="006D6312"/>
    <w:rsid w:val="006E1854"/>
    <w:rsid w:val="006E5318"/>
    <w:rsid w:val="006E5609"/>
    <w:rsid w:val="006E5F6E"/>
    <w:rsid w:val="006E7DDA"/>
    <w:rsid w:val="006E7F9B"/>
    <w:rsid w:val="006F1A89"/>
    <w:rsid w:val="006F1EB2"/>
    <w:rsid w:val="006F210D"/>
    <w:rsid w:val="006F5285"/>
    <w:rsid w:val="006F592D"/>
    <w:rsid w:val="006F7D3A"/>
    <w:rsid w:val="007010A1"/>
    <w:rsid w:val="00703CD0"/>
    <w:rsid w:val="00706450"/>
    <w:rsid w:val="007078AE"/>
    <w:rsid w:val="00712A0A"/>
    <w:rsid w:val="0071390A"/>
    <w:rsid w:val="00716F6F"/>
    <w:rsid w:val="00724F3D"/>
    <w:rsid w:val="00726875"/>
    <w:rsid w:val="007279DC"/>
    <w:rsid w:val="00730F08"/>
    <w:rsid w:val="007322F7"/>
    <w:rsid w:val="00734083"/>
    <w:rsid w:val="0073440B"/>
    <w:rsid w:val="00737BED"/>
    <w:rsid w:val="00740F10"/>
    <w:rsid w:val="0074151C"/>
    <w:rsid w:val="00742BD0"/>
    <w:rsid w:val="007459E3"/>
    <w:rsid w:val="00745F5A"/>
    <w:rsid w:val="00746AEB"/>
    <w:rsid w:val="00751336"/>
    <w:rsid w:val="00751C5E"/>
    <w:rsid w:val="00753D9D"/>
    <w:rsid w:val="00755189"/>
    <w:rsid w:val="00755D1F"/>
    <w:rsid w:val="00756A2F"/>
    <w:rsid w:val="00756CB7"/>
    <w:rsid w:val="00760BBA"/>
    <w:rsid w:val="00764091"/>
    <w:rsid w:val="00765B01"/>
    <w:rsid w:val="00765CA8"/>
    <w:rsid w:val="00766FD3"/>
    <w:rsid w:val="00770688"/>
    <w:rsid w:val="00772D9F"/>
    <w:rsid w:val="00772DB6"/>
    <w:rsid w:val="00773B68"/>
    <w:rsid w:val="00773E40"/>
    <w:rsid w:val="007746DC"/>
    <w:rsid w:val="007763EE"/>
    <w:rsid w:val="0077677A"/>
    <w:rsid w:val="00776E3B"/>
    <w:rsid w:val="00782308"/>
    <w:rsid w:val="00782831"/>
    <w:rsid w:val="00790193"/>
    <w:rsid w:val="007903ED"/>
    <w:rsid w:val="00791ACD"/>
    <w:rsid w:val="00794163"/>
    <w:rsid w:val="00794F14"/>
    <w:rsid w:val="00795763"/>
    <w:rsid w:val="00795BCA"/>
    <w:rsid w:val="007967DE"/>
    <w:rsid w:val="00797AA3"/>
    <w:rsid w:val="007A0079"/>
    <w:rsid w:val="007A05B7"/>
    <w:rsid w:val="007A2C52"/>
    <w:rsid w:val="007A476B"/>
    <w:rsid w:val="007B0C51"/>
    <w:rsid w:val="007B1C8A"/>
    <w:rsid w:val="007B2D0A"/>
    <w:rsid w:val="007B77C1"/>
    <w:rsid w:val="007C168D"/>
    <w:rsid w:val="007C3D82"/>
    <w:rsid w:val="007C58C4"/>
    <w:rsid w:val="007C6E3C"/>
    <w:rsid w:val="007D0BB8"/>
    <w:rsid w:val="007D165E"/>
    <w:rsid w:val="007D2719"/>
    <w:rsid w:val="007D4BAF"/>
    <w:rsid w:val="007D4EEB"/>
    <w:rsid w:val="007D6D5E"/>
    <w:rsid w:val="007E0E11"/>
    <w:rsid w:val="007E1D2C"/>
    <w:rsid w:val="007E4486"/>
    <w:rsid w:val="007E47DA"/>
    <w:rsid w:val="007E7C27"/>
    <w:rsid w:val="007F0BD0"/>
    <w:rsid w:val="007F2810"/>
    <w:rsid w:val="007F3D83"/>
    <w:rsid w:val="007F4182"/>
    <w:rsid w:val="007F451D"/>
    <w:rsid w:val="007F586B"/>
    <w:rsid w:val="007F7C47"/>
    <w:rsid w:val="00802AA7"/>
    <w:rsid w:val="0080695E"/>
    <w:rsid w:val="00806CB4"/>
    <w:rsid w:val="00807495"/>
    <w:rsid w:val="008149E1"/>
    <w:rsid w:val="008159C8"/>
    <w:rsid w:val="00815DD2"/>
    <w:rsid w:val="00820BEE"/>
    <w:rsid w:val="00821D82"/>
    <w:rsid w:val="00824955"/>
    <w:rsid w:val="00825505"/>
    <w:rsid w:val="008269B5"/>
    <w:rsid w:val="00832449"/>
    <w:rsid w:val="008335FE"/>
    <w:rsid w:val="008342F4"/>
    <w:rsid w:val="00835536"/>
    <w:rsid w:val="00836602"/>
    <w:rsid w:val="0083660E"/>
    <w:rsid w:val="00837738"/>
    <w:rsid w:val="0084035A"/>
    <w:rsid w:val="00841654"/>
    <w:rsid w:val="008432A0"/>
    <w:rsid w:val="00843524"/>
    <w:rsid w:val="0084548C"/>
    <w:rsid w:val="008458B9"/>
    <w:rsid w:val="008458E4"/>
    <w:rsid w:val="00847849"/>
    <w:rsid w:val="00847B2E"/>
    <w:rsid w:val="008513FD"/>
    <w:rsid w:val="00852411"/>
    <w:rsid w:val="00853DDE"/>
    <w:rsid w:val="00856B6B"/>
    <w:rsid w:val="00860ADB"/>
    <w:rsid w:val="0086246C"/>
    <w:rsid w:val="00862AD2"/>
    <w:rsid w:val="00863030"/>
    <w:rsid w:val="0086539C"/>
    <w:rsid w:val="008661AE"/>
    <w:rsid w:val="00870023"/>
    <w:rsid w:val="00874C7B"/>
    <w:rsid w:val="00875113"/>
    <w:rsid w:val="00880C47"/>
    <w:rsid w:val="00880C71"/>
    <w:rsid w:val="00882024"/>
    <w:rsid w:val="00882553"/>
    <w:rsid w:val="00882849"/>
    <w:rsid w:val="00882A11"/>
    <w:rsid w:val="00884B7B"/>
    <w:rsid w:val="00885199"/>
    <w:rsid w:val="008862D4"/>
    <w:rsid w:val="00886340"/>
    <w:rsid w:val="00887166"/>
    <w:rsid w:val="008911EB"/>
    <w:rsid w:val="0089393C"/>
    <w:rsid w:val="00897CCF"/>
    <w:rsid w:val="008A0EAB"/>
    <w:rsid w:val="008A158A"/>
    <w:rsid w:val="008A254B"/>
    <w:rsid w:val="008A53E6"/>
    <w:rsid w:val="008B3148"/>
    <w:rsid w:val="008B3F85"/>
    <w:rsid w:val="008B5426"/>
    <w:rsid w:val="008B69DF"/>
    <w:rsid w:val="008B71A8"/>
    <w:rsid w:val="008C0608"/>
    <w:rsid w:val="008C0DD4"/>
    <w:rsid w:val="008C1142"/>
    <w:rsid w:val="008C5AFD"/>
    <w:rsid w:val="008D090F"/>
    <w:rsid w:val="008D1ABE"/>
    <w:rsid w:val="008D6B23"/>
    <w:rsid w:val="008D6F0B"/>
    <w:rsid w:val="008E0805"/>
    <w:rsid w:val="008E227B"/>
    <w:rsid w:val="008E4602"/>
    <w:rsid w:val="008E4A8C"/>
    <w:rsid w:val="008E4D1E"/>
    <w:rsid w:val="008E6CEE"/>
    <w:rsid w:val="008F1317"/>
    <w:rsid w:val="008F1C9D"/>
    <w:rsid w:val="008F4ED7"/>
    <w:rsid w:val="008F5592"/>
    <w:rsid w:val="008F5702"/>
    <w:rsid w:val="00900367"/>
    <w:rsid w:val="009009E8"/>
    <w:rsid w:val="009023C3"/>
    <w:rsid w:val="0090530C"/>
    <w:rsid w:val="00911DB6"/>
    <w:rsid w:val="0091447B"/>
    <w:rsid w:val="00915A66"/>
    <w:rsid w:val="00921D9B"/>
    <w:rsid w:val="00921ECD"/>
    <w:rsid w:val="009260C9"/>
    <w:rsid w:val="00927A18"/>
    <w:rsid w:val="009314EC"/>
    <w:rsid w:val="00931F24"/>
    <w:rsid w:val="009325F9"/>
    <w:rsid w:val="00933C7A"/>
    <w:rsid w:val="00934D78"/>
    <w:rsid w:val="009423D6"/>
    <w:rsid w:val="009425C8"/>
    <w:rsid w:val="009440A0"/>
    <w:rsid w:val="00944550"/>
    <w:rsid w:val="00944EDE"/>
    <w:rsid w:val="00946F4F"/>
    <w:rsid w:val="0095430B"/>
    <w:rsid w:val="00960F7B"/>
    <w:rsid w:val="0096188D"/>
    <w:rsid w:val="00963BA9"/>
    <w:rsid w:val="00965618"/>
    <w:rsid w:val="00965744"/>
    <w:rsid w:val="009712DC"/>
    <w:rsid w:val="00974918"/>
    <w:rsid w:val="00976EFB"/>
    <w:rsid w:val="009772C3"/>
    <w:rsid w:val="009808D7"/>
    <w:rsid w:val="00985582"/>
    <w:rsid w:val="00985A1E"/>
    <w:rsid w:val="00990AC0"/>
    <w:rsid w:val="00993D4C"/>
    <w:rsid w:val="00995DBF"/>
    <w:rsid w:val="0099611B"/>
    <w:rsid w:val="0099716C"/>
    <w:rsid w:val="00997514"/>
    <w:rsid w:val="009A0618"/>
    <w:rsid w:val="009A5009"/>
    <w:rsid w:val="009A6620"/>
    <w:rsid w:val="009A73EF"/>
    <w:rsid w:val="009A7449"/>
    <w:rsid w:val="009B0863"/>
    <w:rsid w:val="009B08B6"/>
    <w:rsid w:val="009B3265"/>
    <w:rsid w:val="009B4CD7"/>
    <w:rsid w:val="009C098F"/>
    <w:rsid w:val="009C1C44"/>
    <w:rsid w:val="009C6800"/>
    <w:rsid w:val="009C7C23"/>
    <w:rsid w:val="009D01C6"/>
    <w:rsid w:val="009D0795"/>
    <w:rsid w:val="009D4898"/>
    <w:rsid w:val="009D6A37"/>
    <w:rsid w:val="009E5DFE"/>
    <w:rsid w:val="009E6D51"/>
    <w:rsid w:val="009F33DD"/>
    <w:rsid w:val="009F3897"/>
    <w:rsid w:val="009F7296"/>
    <w:rsid w:val="00A00DC1"/>
    <w:rsid w:val="00A03417"/>
    <w:rsid w:val="00A03A0D"/>
    <w:rsid w:val="00A04033"/>
    <w:rsid w:val="00A05445"/>
    <w:rsid w:val="00A05A91"/>
    <w:rsid w:val="00A07CC9"/>
    <w:rsid w:val="00A07F35"/>
    <w:rsid w:val="00A15051"/>
    <w:rsid w:val="00A16A77"/>
    <w:rsid w:val="00A203E7"/>
    <w:rsid w:val="00A22DF8"/>
    <w:rsid w:val="00A254A7"/>
    <w:rsid w:val="00A27B0E"/>
    <w:rsid w:val="00A346C8"/>
    <w:rsid w:val="00A36835"/>
    <w:rsid w:val="00A36D83"/>
    <w:rsid w:val="00A41748"/>
    <w:rsid w:val="00A41AA0"/>
    <w:rsid w:val="00A41E56"/>
    <w:rsid w:val="00A46200"/>
    <w:rsid w:val="00A46F33"/>
    <w:rsid w:val="00A46F3A"/>
    <w:rsid w:val="00A47235"/>
    <w:rsid w:val="00A530C4"/>
    <w:rsid w:val="00A53545"/>
    <w:rsid w:val="00A54A90"/>
    <w:rsid w:val="00A56196"/>
    <w:rsid w:val="00A56E04"/>
    <w:rsid w:val="00A56F22"/>
    <w:rsid w:val="00A67397"/>
    <w:rsid w:val="00A71A63"/>
    <w:rsid w:val="00A72BDB"/>
    <w:rsid w:val="00A73CB6"/>
    <w:rsid w:val="00A740B3"/>
    <w:rsid w:val="00A76045"/>
    <w:rsid w:val="00A761EF"/>
    <w:rsid w:val="00A83208"/>
    <w:rsid w:val="00A83DD7"/>
    <w:rsid w:val="00A868FF"/>
    <w:rsid w:val="00A874C8"/>
    <w:rsid w:val="00A93AF4"/>
    <w:rsid w:val="00A9573D"/>
    <w:rsid w:val="00A96882"/>
    <w:rsid w:val="00A96D69"/>
    <w:rsid w:val="00A97B16"/>
    <w:rsid w:val="00A97C89"/>
    <w:rsid w:val="00A97E71"/>
    <w:rsid w:val="00AA005F"/>
    <w:rsid w:val="00AA0E7B"/>
    <w:rsid w:val="00AA1401"/>
    <w:rsid w:val="00AA2038"/>
    <w:rsid w:val="00AB04F1"/>
    <w:rsid w:val="00AB2719"/>
    <w:rsid w:val="00AB318C"/>
    <w:rsid w:val="00AB37AF"/>
    <w:rsid w:val="00AB4442"/>
    <w:rsid w:val="00AB52C5"/>
    <w:rsid w:val="00AB549B"/>
    <w:rsid w:val="00AB5B22"/>
    <w:rsid w:val="00AB6A9B"/>
    <w:rsid w:val="00AB6D9C"/>
    <w:rsid w:val="00AB7DA1"/>
    <w:rsid w:val="00AC065E"/>
    <w:rsid w:val="00AC1554"/>
    <w:rsid w:val="00AC32C2"/>
    <w:rsid w:val="00AC3527"/>
    <w:rsid w:val="00AC3DEA"/>
    <w:rsid w:val="00AC44AC"/>
    <w:rsid w:val="00AD0B00"/>
    <w:rsid w:val="00AD0BB5"/>
    <w:rsid w:val="00AD232D"/>
    <w:rsid w:val="00AD4F01"/>
    <w:rsid w:val="00AD4F68"/>
    <w:rsid w:val="00AD5394"/>
    <w:rsid w:val="00AD6A80"/>
    <w:rsid w:val="00AE12D2"/>
    <w:rsid w:val="00AE1DBD"/>
    <w:rsid w:val="00AE22A6"/>
    <w:rsid w:val="00AE240D"/>
    <w:rsid w:val="00AE2818"/>
    <w:rsid w:val="00AE2926"/>
    <w:rsid w:val="00AE35A8"/>
    <w:rsid w:val="00AE52C0"/>
    <w:rsid w:val="00AE5971"/>
    <w:rsid w:val="00AE6144"/>
    <w:rsid w:val="00AE6C05"/>
    <w:rsid w:val="00AF0F28"/>
    <w:rsid w:val="00AF4FAD"/>
    <w:rsid w:val="00AF5A8F"/>
    <w:rsid w:val="00B00589"/>
    <w:rsid w:val="00B014FE"/>
    <w:rsid w:val="00B02647"/>
    <w:rsid w:val="00B0288B"/>
    <w:rsid w:val="00B03861"/>
    <w:rsid w:val="00B04216"/>
    <w:rsid w:val="00B0703F"/>
    <w:rsid w:val="00B10496"/>
    <w:rsid w:val="00B106A7"/>
    <w:rsid w:val="00B10E46"/>
    <w:rsid w:val="00B11EC5"/>
    <w:rsid w:val="00B13105"/>
    <w:rsid w:val="00B1515D"/>
    <w:rsid w:val="00B16E92"/>
    <w:rsid w:val="00B2287D"/>
    <w:rsid w:val="00B23731"/>
    <w:rsid w:val="00B30686"/>
    <w:rsid w:val="00B31DEA"/>
    <w:rsid w:val="00B3273B"/>
    <w:rsid w:val="00B33791"/>
    <w:rsid w:val="00B33AC0"/>
    <w:rsid w:val="00B357D5"/>
    <w:rsid w:val="00B369D9"/>
    <w:rsid w:val="00B36D85"/>
    <w:rsid w:val="00B40120"/>
    <w:rsid w:val="00B4278A"/>
    <w:rsid w:val="00B43D75"/>
    <w:rsid w:val="00B471CD"/>
    <w:rsid w:val="00B50930"/>
    <w:rsid w:val="00B5177E"/>
    <w:rsid w:val="00B52B31"/>
    <w:rsid w:val="00B53CF3"/>
    <w:rsid w:val="00B542B6"/>
    <w:rsid w:val="00B558C9"/>
    <w:rsid w:val="00B60842"/>
    <w:rsid w:val="00B626CA"/>
    <w:rsid w:val="00B62D96"/>
    <w:rsid w:val="00B637EB"/>
    <w:rsid w:val="00B65278"/>
    <w:rsid w:val="00B70266"/>
    <w:rsid w:val="00B71BA9"/>
    <w:rsid w:val="00B71CC6"/>
    <w:rsid w:val="00B71CE7"/>
    <w:rsid w:val="00B725DC"/>
    <w:rsid w:val="00B73698"/>
    <w:rsid w:val="00B77112"/>
    <w:rsid w:val="00B82B21"/>
    <w:rsid w:val="00B86C18"/>
    <w:rsid w:val="00B90456"/>
    <w:rsid w:val="00B91FE8"/>
    <w:rsid w:val="00B92DB1"/>
    <w:rsid w:val="00B9410E"/>
    <w:rsid w:val="00B97957"/>
    <w:rsid w:val="00BA00A1"/>
    <w:rsid w:val="00BA3AD1"/>
    <w:rsid w:val="00BA3BF4"/>
    <w:rsid w:val="00BA3E29"/>
    <w:rsid w:val="00BA4DD7"/>
    <w:rsid w:val="00BA5628"/>
    <w:rsid w:val="00BA5E11"/>
    <w:rsid w:val="00BB00AE"/>
    <w:rsid w:val="00BB0B33"/>
    <w:rsid w:val="00BB160D"/>
    <w:rsid w:val="00BB1654"/>
    <w:rsid w:val="00BB195A"/>
    <w:rsid w:val="00BB50C0"/>
    <w:rsid w:val="00BB51C9"/>
    <w:rsid w:val="00BB598C"/>
    <w:rsid w:val="00BB646A"/>
    <w:rsid w:val="00BC1062"/>
    <w:rsid w:val="00BC2C60"/>
    <w:rsid w:val="00BC5469"/>
    <w:rsid w:val="00BD08AD"/>
    <w:rsid w:val="00BD1387"/>
    <w:rsid w:val="00BD1EB8"/>
    <w:rsid w:val="00BD2154"/>
    <w:rsid w:val="00BD4AA3"/>
    <w:rsid w:val="00BD7F1F"/>
    <w:rsid w:val="00BE00C5"/>
    <w:rsid w:val="00BE0B19"/>
    <w:rsid w:val="00BE1CAB"/>
    <w:rsid w:val="00BE2CFD"/>
    <w:rsid w:val="00BE54A6"/>
    <w:rsid w:val="00BE5800"/>
    <w:rsid w:val="00BE6574"/>
    <w:rsid w:val="00BE69B0"/>
    <w:rsid w:val="00BE6B20"/>
    <w:rsid w:val="00BE6E82"/>
    <w:rsid w:val="00BE780B"/>
    <w:rsid w:val="00BF4BFA"/>
    <w:rsid w:val="00BF50FE"/>
    <w:rsid w:val="00BF729D"/>
    <w:rsid w:val="00C00E36"/>
    <w:rsid w:val="00C0252D"/>
    <w:rsid w:val="00C0319E"/>
    <w:rsid w:val="00C04DA7"/>
    <w:rsid w:val="00C050A0"/>
    <w:rsid w:val="00C05486"/>
    <w:rsid w:val="00C1154A"/>
    <w:rsid w:val="00C115A5"/>
    <w:rsid w:val="00C12521"/>
    <w:rsid w:val="00C20769"/>
    <w:rsid w:val="00C22619"/>
    <w:rsid w:val="00C3224C"/>
    <w:rsid w:val="00C34714"/>
    <w:rsid w:val="00C35324"/>
    <w:rsid w:val="00C35B10"/>
    <w:rsid w:val="00C36ADC"/>
    <w:rsid w:val="00C36F37"/>
    <w:rsid w:val="00C40A28"/>
    <w:rsid w:val="00C41F07"/>
    <w:rsid w:val="00C420CC"/>
    <w:rsid w:val="00C42FBA"/>
    <w:rsid w:val="00C44B34"/>
    <w:rsid w:val="00C525E0"/>
    <w:rsid w:val="00C5272C"/>
    <w:rsid w:val="00C540A3"/>
    <w:rsid w:val="00C540F5"/>
    <w:rsid w:val="00C54BE2"/>
    <w:rsid w:val="00C54F03"/>
    <w:rsid w:val="00C60707"/>
    <w:rsid w:val="00C61138"/>
    <w:rsid w:val="00C65529"/>
    <w:rsid w:val="00C67B5E"/>
    <w:rsid w:val="00C72205"/>
    <w:rsid w:val="00C7344F"/>
    <w:rsid w:val="00C735EE"/>
    <w:rsid w:val="00C7447B"/>
    <w:rsid w:val="00C74A80"/>
    <w:rsid w:val="00C74ECE"/>
    <w:rsid w:val="00C76D4E"/>
    <w:rsid w:val="00C84DB7"/>
    <w:rsid w:val="00C93AA8"/>
    <w:rsid w:val="00C93AEA"/>
    <w:rsid w:val="00C94471"/>
    <w:rsid w:val="00C94590"/>
    <w:rsid w:val="00C94A7D"/>
    <w:rsid w:val="00C951C5"/>
    <w:rsid w:val="00CA0194"/>
    <w:rsid w:val="00CA043D"/>
    <w:rsid w:val="00CA4B99"/>
    <w:rsid w:val="00CA5C38"/>
    <w:rsid w:val="00CA71B2"/>
    <w:rsid w:val="00CA71FA"/>
    <w:rsid w:val="00CB4979"/>
    <w:rsid w:val="00CB4E54"/>
    <w:rsid w:val="00CB523B"/>
    <w:rsid w:val="00CB6060"/>
    <w:rsid w:val="00CB61E8"/>
    <w:rsid w:val="00CB6A10"/>
    <w:rsid w:val="00CB7704"/>
    <w:rsid w:val="00CC1B47"/>
    <w:rsid w:val="00CC3C72"/>
    <w:rsid w:val="00CC5829"/>
    <w:rsid w:val="00CD1433"/>
    <w:rsid w:val="00CD2602"/>
    <w:rsid w:val="00CD2BEE"/>
    <w:rsid w:val="00CD585C"/>
    <w:rsid w:val="00CD5B55"/>
    <w:rsid w:val="00CE0B3D"/>
    <w:rsid w:val="00CE0D68"/>
    <w:rsid w:val="00CE0FD8"/>
    <w:rsid w:val="00CE164E"/>
    <w:rsid w:val="00CE2E8D"/>
    <w:rsid w:val="00CE48AB"/>
    <w:rsid w:val="00CE6046"/>
    <w:rsid w:val="00CE69B7"/>
    <w:rsid w:val="00CF091F"/>
    <w:rsid w:val="00CF7783"/>
    <w:rsid w:val="00D0116E"/>
    <w:rsid w:val="00D011CB"/>
    <w:rsid w:val="00D01651"/>
    <w:rsid w:val="00D02667"/>
    <w:rsid w:val="00D054B6"/>
    <w:rsid w:val="00D05890"/>
    <w:rsid w:val="00D06B70"/>
    <w:rsid w:val="00D07939"/>
    <w:rsid w:val="00D07AD8"/>
    <w:rsid w:val="00D07FEB"/>
    <w:rsid w:val="00D10768"/>
    <w:rsid w:val="00D10A06"/>
    <w:rsid w:val="00D115D3"/>
    <w:rsid w:val="00D12945"/>
    <w:rsid w:val="00D172D1"/>
    <w:rsid w:val="00D177FB"/>
    <w:rsid w:val="00D17CD1"/>
    <w:rsid w:val="00D21D71"/>
    <w:rsid w:val="00D21E07"/>
    <w:rsid w:val="00D242DD"/>
    <w:rsid w:val="00D24A4D"/>
    <w:rsid w:val="00D31B6C"/>
    <w:rsid w:val="00D351C8"/>
    <w:rsid w:val="00D37A97"/>
    <w:rsid w:val="00D37C41"/>
    <w:rsid w:val="00D411A1"/>
    <w:rsid w:val="00D41AD3"/>
    <w:rsid w:val="00D42951"/>
    <w:rsid w:val="00D43068"/>
    <w:rsid w:val="00D43D9C"/>
    <w:rsid w:val="00D44F52"/>
    <w:rsid w:val="00D50944"/>
    <w:rsid w:val="00D513A0"/>
    <w:rsid w:val="00D5263C"/>
    <w:rsid w:val="00D52EEA"/>
    <w:rsid w:val="00D576FF"/>
    <w:rsid w:val="00D60FFB"/>
    <w:rsid w:val="00D649D8"/>
    <w:rsid w:val="00D64C5D"/>
    <w:rsid w:val="00D67407"/>
    <w:rsid w:val="00D70A8B"/>
    <w:rsid w:val="00D73773"/>
    <w:rsid w:val="00D74CAB"/>
    <w:rsid w:val="00D80719"/>
    <w:rsid w:val="00D80987"/>
    <w:rsid w:val="00D848E8"/>
    <w:rsid w:val="00D84ACD"/>
    <w:rsid w:val="00D86D6D"/>
    <w:rsid w:val="00D90336"/>
    <w:rsid w:val="00D90B7E"/>
    <w:rsid w:val="00D92842"/>
    <w:rsid w:val="00D93504"/>
    <w:rsid w:val="00D939A4"/>
    <w:rsid w:val="00D96070"/>
    <w:rsid w:val="00DA05C0"/>
    <w:rsid w:val="00DA09B3"/>
    <w:rsid w:val="00DA1AFB"/>
    <w:rsid w:val="00DA1CBD"/>
    <w:rsid w:val="00DA6369"/>
    <w:rsid w:val="00DA6E51"/>
    <w:rsid w:val="00DB370C"/>
    <w:rsid w:val="00DB3715"/>
    <w:rsid w:val="00DB3C26"/>
    <w:rsid w:val="00DB4F22"/>
    <w:rsid w:val="00DB66BA"/>
    <w:rsid w:val="00DC2DFA"/>
    <w:rsid w:val="00DC2F67"/>
    <w:rsid w:val="00DC43E3"/>
    <w:rsid w:val="00DC66F7"/>
    <w:rsid w:val="00DC7DF1"/>
    <w:rsid w:val="00DD0A9F"/>
    <w:rsid w:val="00DD1AF4"/>
    <w:rsid w:val="00DD47DF"/>
    <w:rsid w:val="00DD56D5"/>
    <w:rsid w:val="00DE7DC9"/>
    <w:rsid w:val="00DF0789"/>
    <w:rsid w:val="00DF61C5"/>
    <w:rsid w:val="00DF6E9F"/>
    <w:rsid w:val="00E02DF5"/>
    <w:rsid w:val="00E0311F"/>
    <w:rsid w:val="00E042C0"/>
    <w:rsid w:val="00E07778"/>
    <w:rsid w:val="00E11020"/>
    <w:rsid w:val="00E11C9B"/>
    <w:rsid w:val="00E14014"/>
    <w:rsid w:val="00E1525B"/>
    <w:rsid w:val="00E17BB9"/>
    <w:rsid w:val="00E20E6D"/>
    <w:rsid w:val="00E25BCE"/>
    <w:rsid w:val="00E312DD"/>
    <w:rsid w:val="00E3235F"/>
    <w:rsid w:val="00E33311"/>
    <w:rsid w:val="00E3620C"/>
    <w:rsid w:val="00E41274"/>
    <w:rsid w:val="00E42B97"/>
    <w:rsid w:val="00E434FB"/>
    <w:rsid w:val="00E43851"/>
    <w:rsid w:val="00E45DD5"/>
    <w:rsid w:val="00E45F96"/>
    <w:rsid w:val="00E46143"/>
    <w:rsid w:val="00E46E7B"/>
    <w:rsid w:val="00E52582"/>
    <w:rsid w:val="00E5417B"/>
    <w:rsid w:val="00E56006"/>
    <w:rsid w:val="00E57B66"/>
    <w:rsid w:val="00E606B1"/>
    <w:rsid w:val="00E66E54"/>
    <w:rsid w:val="00E7190C"/>
    <w:rsid w:val="00E723FD"/>
    <w:rsid w:val="00E7368A"/>
    <w:rsid w:val="00E77BA3"/>
    <w:rsid w:val="00E8073F"/>
    <w:rsid w:val="00E80C02"/>
    <w:rsid w:val="00E83F23"/>
    <w:rsid w:val="00E85024"/>
    <w:rsid w:val="00E87265"/>
    <w:rsid w:val="00E90C52"/>
    <w:rsid w:val="00E957E6"/>
    <w:rsid w:val="00E975C7"/>
    <w:rsid w:val="00EA016A"/>
    <w:rsid w:val="00EA16A4"/>
    <w:rsid w:val="00EA2BF6"/>
    <w:rsid w:val="00EA3373"/>
    <w:rsid w:val="00EA577E"/>
    <w:rsid w:val="00EB3498"/>
    <w:rsid w:val="00EB6392"/>
    <w:rsid w:val="00EB717E"/>
    <w:rsid w:val="00EC22B2"/>
    <w:rsid w:val="00EC471C"/>
    <w:rsid w:val="00EC68CB"/>
    <w:rsid w:val="00ED1665"/>
    <w:rsid w:val="00ED1C5F"/>
    <w:rsid w:val="00ED328B"/>
    <w:rsid w:val="00ED4087"/>
    <w:rsid w:val="00EE0C0D"/>
    <w:rsid w:val="00EE28BB"/>
    <w:rsid w:val="00EE3FB8"/>
    <w:rsid w:val="00EE4428"/>
    <w:rsid w:val="00EE477D"/>
    <w:rsid w:val="00EF1579"/>
    <w:rsid w:val="00EF1AC2"/>
    <w:rsid w:val="00EF1B36"/>
    <w:rsid w:val="00EF4155"/>
    <w:rsid w:val="00F0321D"/>
    <w:rsid w:val="00F03670"/>
    <w:rsid w:val="00F03FC5"/>
    <w:rsid w:val="00F102BC"/>
    <w:rsid w:val="00F1032E"/>
    <w:rsid w:val="00F11C11"/>
    <w:rsid w:val="00F12270"/>
    <w:rsid w:val="00F127A4"/>
    <w:rsid w:val="00F133CB"/>
    <w:rsid w:val="00F14760"/>
    <w:rsid w:val="00F14D5E"/>
    <w:rsid w:val="00F15AE8"/>
    <w:rsid w:val="00F176E4"/>
    <w:rsid w:val="00F202BF"/>
    <w:rsid w:val="00F20EAC"/>
    <w:rsid w:val="00F27EDC"/>
    <w:rsid w:val="00F30E19"/>
    <w:rsid w:val="00F32BCA"/>
    <w:rsid w:val="00F3579B"/>
    <w:rsid w:val="00F405AC"/>
    <w:rsid w:val="00F43099"/>
    <w:rsid w:val="00F442F9"/>
    <w:rsid w:val="00F46843"/>
    <w:rsid w:val="00F50936"/>
    <w:rsid w:val="00F517B0"/>
    <w:rsid w:val="00F55194"/>
    <w:rsid w:val="00F61D46"/>
    <w:rsid w:val="00F61FE9"/>
    <w:rsid w:val="00F629D1"/>
    <w:rsid w:val="00F62CBF"/>
    <w:rsid w:val="00F65F53"/>
    <w:rsid w:val="00F66D02"/>
    <w:rsid w:val="00F675CE"/>
    <w:rsid w:val="00F67D1C"/>
    <w:rsid w:val="00F70E1B"/>
    <w:rsid w:val="00F73156"/>
    <w:rsid w:val="00F7468E"/>
    <w:rsid w:val="00F773C1"/>
    <w:rsid w:val="00F77F93"/>
    <w:rsid w:val="00F80DFF"/>
    <w:rsid w:val="00F81B07"/>
    <w:rsid w:val="00F85AD3"/>
    <w:rsid w:val="00F85C44"/>
    <w:rsid w:val="00F87240"/>
    <w:rsid w:val="00F90C29"/>
    <w:rsid w:val="00F91DBE"/>
    <w:rsid w:val="00F923CC"/>
    <w:rsid w:val="00F94C50"/>
    <w:rsid w:val="00F95E8F"/>
    <w:rsid w:val="00F95F06"/>
    <w:rsid w:val="00F96DBB"/>
    <w:rsid w:val="00F97B2B"/>
    <w:rsid w:val="00FA03AA"/>
    <w:rsid w:val="00FA0970"/>
    <w:rsid w:val="00FA166B"/>
    <w:rsid w:val="00FA1B38"/>
    <w:rsid w:val="00FA2B67"/>
    <w:rsid w:val="00FA6F57"/>
    <w:rsid w:val="00FA76BA"/>
    <w:rsid w:val="00FB217A"/>
    <w:rsid w:val="00FB278B"/>
    <w:rsid w:val="00FB2B47"/>
    <w:rsid w:val="00FB2E47"/>
    <w:rsid w:val="00FB51A2"/>
    <w:rsid w:val="00FB5C38"/>
    <w:rsid w:val="00FC03FB"/>
    <w:rsid w:val="00FC15F5"/>
    <w:rsid w:val="00FC39F1"/>
    <w:rsid w:val="00FC4DBE"/>
    <w:rsid w:val="00FC52FA"/>
    <w:rsid w:val="00FC5322"/>
    <w:rsid w:val="00FD355C"/>
    <w:rsid w:val="00FD4352"/>
    <w:rsid w:val="00FD5B46"/>
    <w:rsid w:val="00FD652F"/>
    <w:rsid w:val="00FD7409"/>
    <w:rsid w:val="00FD771B"/>
    <w:rsid w:val="00FE0F6D"/>
    <w:rsid w:val="00FE27C6"/>
    <w:rsid w:val="00FE59EB"/>
    <w:rsid w:val="00FF13B5"/>
    <w:rsid w:val="00FF25DC"/>
    <w:rsid w:val="00FF329B"/>
    <w:rsid w:val="00FF3632"/>
    <w:rsid w:val="00FF43C6"/>
    <w:rsid w:val="00FF5394"/>
    <w:rsid w:val="00FF6B71"/>
    <w:rsid w:val="00FF719A"/>
    <w:rsid w:val="00FF7F96"/>
    <w:rsid w:val="01B45E16"/>
    <w:rsid w:val="027F9925"/>
    <w:rsid w:val="02AB0AFF"/>
    <w:rsid w:val="03005EC8"/>
    <w:rsid w:val="031D7193"/>
    <w:rsid w:val="035ECD3D"/>
    <w:rsid w:val="0401F0F4"/>
    <w:rsid w:val="0654A032"/>
    <w:rsid w:val="06A9E071"/>
    <w:rsid w:val="06C89AA0"/>
    <w:rsid w:val="06DB6BD6"/>
    <w:rsid w:val="06DDA66B"/>
    <w:rsid w:val="0833A11A"/>
    <w:rsid w:val="08890B78"/>
    <w:rsid w:val="08D9401B"/>
    <w:rsid w:val="0964780E"/>
    <w:rsid w:val="096F08A4"/>
    <w:rsid w:val="0A228420"/>
    <w:rsid w:val="0B0E27D8"/>
    <w:rsid w:val="0B757FFE"/>
    <w:rsid w:val="0BC31268"/>
    <w:rsid w:val="102D5D9D"/>
    <w:rsid w:val="106EF9AB"/>
    <w:rsid w:val="111428E4"/>
    <w:rsid w:val="115A880C"/>
    <w:rsid w:val="120C416C"/>
    <w:rsid w:val="12A10C15"/>
    <w:rsid w:val="12FD2D6C"/>
    <w:rsid w:val="135480EC"/>
    <w:rsid w:val="13A179C8"/>
    <w:rsid w:val="15293A7F"/>
    <w:rsid w:val="1561EAE6"/>
    <w:rsid w:val="156B53A1"/>
    <w:rsid w:val="165B573B"/>
    <w:rsid w:val="16B81876"/>
    <w:rsid w:val="17368490"/>
    <w:rsid w:val="174522F0"/>
    <w:rsid w:val="17B53CF4"/>
    <w:rsid w:val="17DAB861"/>
    <w:rsid w:val="18046A17"/>
    <w:rsid w:val="18833606"/>
    <w:rsid w:val="19ACFF7D"/>
    <w:rsid w:val="1AC20DB7"/>
    <w:rsid w:val="1AC95A7D"/>
    <w:rsid w:val="1C1C78E0"/>
    <w:rsid w:val="1CA545A6"/>
    <w:rsid w:val="1E6C3FE7"/>
    <w:rsid w:val="1E708AE8"/>
    <w:rsid w:val="1EBD2486"/>
    <w:rsid w:val="1F5EF507"/>
    <w:rsid w:val="2170B7F3"/>
    <w:rsid w:val="21E25119"/>
    <w:rsid w:val="22EBA2A0"/>
    <w:rsid w:val="234C200A"/>
    <w:rsid w:val="23E87161"/>
    <w:rsid w:val="2423E19A"/>
    <w:rsid w:val="242D6863"/>
    <w:rsid w:val="24DFC8A6"/>
    <w:rsid w:val="2691904B"/>
    <w:rsid w:val="269EE018"/>
    <w:rsid w:val="26AA9504"/>
    <w:rsid w:val="27A67830"/>
    <w:rsid w:val="27AECA5D"/>
    <w:rsid w:val="29C96653"/>
    <w:rsid w:val="2A288F53"/>
    <w:rsid w:val="2A2E1EF9"/>
    <w:rsid w:val="2A472B1A"/>
    <w:rsid w:val="2BB72480"/>
    <w:rsid w:val="2CD1C7A5"/>
    <w:rsid w:val="2CD92581"/>
    <w:rsid w:val="2EF1302C"/>
    <w:rsid w:val="307505BD"/>
    <w:rsid w:val="309078F1"/>
    <w:rsid w:val="30B07219"/>
    <w:rsid w:val="316CF35F"/>
    <w:rsid w:val="31A2C04D"/>
    <w:rsid w:val="3295B298"/>
    <w:rsid w:val="32DF00C1"/>
    <w:rsid w:val="33369863"/>
    <w:rsid w:val="3342D276"/>
    <w:rsid w:val="360FE3D3"/>
    <w:rsid w:val="3682E5F9"/>
    <w:rsid w:val="3729ACFF"/>
    <w:rsid w:val="38172775"/>
    <w:rsid w:val="3859F583"/>
    <w:rsid w:val="3949E03E"/>
    <w:rsid w:val="39F83F6F"/>
    <w:rsid w:val="3A121328"/>
    <w:rsid w:val="3AB470CC"/>
    <w:rsid w:val="3B252C02"/>
    <w:rsid w:val="3C1B92DB"/>
    <w:rsid w:val="3CFDCDDB"/>
    <w:rsid w:val="3DB6BEE0"/>
    <w:rsid w:val="3FBA4D2E"/>
    <w:rsid w:val="408C4385"/>
    <w:rsid w:val="4181418F"/>
    <w:rsid w:val="424F9E51"/>
    <w:rsid w:val="426EBAA2"/>
    <w:rsid w:val="42C628FC"/>
    <w:rsid w:val="438B6FDE"/>
    <w:rsid w:val="44083183"/>
    <w:rsid w:val="442BFEF4"/>
    <w:rsid w:val="44B6837E"/>
    <w:rsid w:val="44BB3283"/>
    <w:rsid w:val="464B5CFB"/>
    <w:rsid w:val="469E6D3F"/>
    <w:rsid w:val="46AC1200"/>
    <w:rsid w:val="47016C3C"/>
    <w:rsid w:val="4791D1B0"/>
    <w:rsid w:val="48CB7327"/>
    <w:rsid w:val="48EEF977"/>
    <w:rsid w:val="49661DAD"/>
    <w:rsid w:val="4A676C8E"/>
    <w:rsid w:val="4AB54D4A"/>
    <w:rsid w:val="4AF66E24"/>
    <w:rsid w:val="4C48FCD0"/>
    <w:rsid w:val="4CB8330A"/>
    <w:rsid w:val="4CCF4316"/>
    <w:rsid w:val="4DF38118"/>
    <w:rsid w:val="4E120419"/>
    <w:rsid w:val="4E4573FA"/>
    <w:rsid w:val="4E70F671"/>
    <w:rsid w:val="4F012C57"/>
    <w:rsid w:val="504CF802"/>
    <w:rsid w:val="50D66966"/>
    <w:rsid w:val="51A2BDC0"/>
    <w:rsid w:val="51EB5E5D"/>
    <w:rsid w:val="5217D55D"/>
    <w:rsid w:val="5231DE53"/>
    <w:rsid w:val="52A37DA3"/>
    <w:rsid w:val="53C8CFC2"/>
    <w:rsid w:val="53EF7684"/>
    <w:rsid w:val="544C3DF1"/>
    <w:rsid w:val="5470F63C"/>
    <w:rsid w:val="54E102D5"/>
    <w:rsid w:val="55345294"/>
    <w:rsid w:val="563C0010"/>
    <w:rsid w:val="564B8627"/>
    <w:rsid w:val="57A1A5A2"/>
    <w:rsid w:val="57C44205"/>
    <w:rsid w:val="5814D1AA"/>
    <w:rsid w:val="584D7E2C"/>
    <w:rsid w:val="5AFB6A99"/>
    <w:rsid w:val="5BAF38B9"/>
    <w:rsid w:val="5C326EF9"/>
    <w:rsid w:val="5C6E8D45"/>
    <w:rsid w:val="5CE5CDFB"/>
    <w:rsid w:val="5D4CF5D5"/>
    <w:rsid w:val="5F48E696"/>
    <w:rsid w:val="5F502A9E"/>
    <w:rsid w:val="603D65E4"/>
    <w:rsid w:val="60E5973C"/>
    <w:rsid w:val="62402810"/>
    <w:rsid w:val="62A25D3E"/>
    <w:rsid w:val="6374804A"/>
    <w:rsid w:val="63760E05"/>
    <w:rsid w:val="645181A9"/>
    <w:rsid w:val="658C659F"/>
    <w:rsid w:val="6754EDA5"/>
    <w:rsid w:val="6792F621"/>
    <w:rsid w:val="688CB204"/>
    <w:rsid w:val="689CB3EF"/>
    <w:rsid w:val="68DF8600"/>
    <w:rsid w:val="68F6DA91"/>
    <w:rsid w:val="6A2A800A"/>
    <w:rsid w:val="6B6B7A69"/>
    <w:rsid w:val="6C8DCB35"/>
    <w:rsid w:val="6DE8BCAF"/>
    <w:rsid w:val="703A432C"/>
    <w:rsid w:val="7067FA9A"/>
    <w:rsid w:val="706C5201"/>
    <w:rsid w:val="71F6D680"/>
    <w:rsid w:val="72A50568"/>
    <w:rsid w:val="72B0E45E"/>
    <w:rsid w:val="73816DAB"/>
    <w:rsid w:val="74E5E8B7"/>
    <w:rsid w:val="74EBFF59"/>
    <w:rsid w:val="752CEB01"/>
    <w:rsid w:val="75E08FEC"/>
    <w:rsid w:val="75F009F6"/>
    <w:rsid w:val="761240BF"/>
    <w:rsid w:val="768BA33F"/>
    <w:rsid w:val="76B3FEEC"/>
    <w:rsid w:val="77E78F1C"/>
    <w:rsid w:val="78804EA3"/>
    <w:rsid w:val="78DA330D"/>
    <w:rsid w:val="790210EA"/>
    <w:rsid w:val="7916C8CE"/>
    <w:rsid w:val="79317B39"/>
    <w:rsid w:val="7B03788D"/>
    <w:rsid w:val="7C130475"/>
    <w:rsid w:val="7CDCFA17"/>
    <w:rsid w:val="7D9CB60A"/>
    <w:rsid w:val="7EE4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3F6BC4"/>
  <w15:docId w15:val="{F445CCF9-64B0-4849-A903-D34475B0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D7"/>
  </w:style>
  <w:style w:type="paragraph" w:styleId="Heading1">
    <w:name w:val="heading 1"/>
    <w:basedOn w:val="Normal"/>
    <w:next w:val="Normal"/>
    <w:qFormat/>
    <w:rsid w:val="00C0319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4"/>
      </w:numPr>
    </w:pPr>
  </w:style>
  <w:style w:type="numbering" w:styleId="1ai">
    <w:name w:val="Outline List 1"/>
    <w:basedOn w:val="NoList"/>
    <w:semiHidden/>
    <w:rsid w:val="00C0319E"/>
    <w:pPr>
      <w:numPr>
        <w:numId w:val="5"/>
      </w:numPr>
    </w:pPr>
  </w:style>
  <w:style w:type="numbering" w:styleId="ArticleSection">
    <w:name w:val="Outline List 3"/>
    <w:basedOn w:val="NoList"/>
    <w:semiHidden/>
    <w:rsid w:val="00C0319E"/>
    <w:pPr>
      <w:numPr>
        <w:numId w:val="6"/>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uiPriority w:val="20"/>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0319E"/>
    <w:rPr>
      <w:rFonts w:ascii="Arial" w:hAnsi="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7"/>
      </w:numPr>
    </w:pPr>
  </w:style>
  <w:style w:type="paragraph" w:styleId="ListBullet2">
    <w:name w:val="List Bullet 2"/>
    <w:basedOn w:val="Normal"/>
    <w:semiHidden/>
    <w:rsid w:val="00C0319E"/>
    <w:pPr>
      <w:numPr>
        <w:numId w:val="8"/>
      </w:numPr>
    </w:pPr>
  </w:style>
  <w:style w:type="paragraph" w:styleId="ListBullet3">
    <w:name w:val="List Bullet 3"/>
    <w:basedOn w:val="Normal"/>
    <w:semiHidden/>
    <w:rsid w:val="00C0319E"/>
    <w:pPr>
      <w:numPr>
        <w:numId w:val="9"/>
      </w:numPr>
    </w:pPr>
  </w:style>
  <w:style w:type="paragraph" w:styleId="ListBullet4">
    <w:name w:val="List Bullet 4"/>
    <w:basedOn w:val="Normal"/>
    <w:semiHidden/>
    <w:rsid w:val="00C0319E"/>
    <w:pPr>
      <w:numPr>
        <w:numId w:val="10"/>
      </w:numPr>
    </w:pPr>
  </w:style>
  <w:style w:type="paragraph" w:styleId="ListBullet5">
    <w:name w:val="List Bullet 5"/>
    <w:basedOn w:val="Normal"/>
    <w:semiHidden/>
    <w:rsid w:val="00C0319E"/>
    <w:pPr>
      <w:numPr>
        <w:numId w:val="11"/>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12"/>
      </w:numPr>
    </w:pPr>
  </w:style>
  <w:style w:type="paragraph" w:styleId="ListNumber2">
    <w:name w:val="List Number 2"/>
    <w:basedOn w:val="Normal"/>
    <w:semiHidden/>
    <w:rsid w:val="00C0319E"/>
    <w:pPr>
      <w:numPr>
        <w:numId w:val="13"/>
      </w:numPr>
    </w:pPr>
  </w:style>
  <w:style w:type="paragraph" w:styleId="ListNumber3">
    <w:name w:val="List Number 3"/>
    <w:basedOn w:val="Normal"/>
    <w:semiHidden/>
    <w:rsid w:val="00C0319E"/>
    <w:pPr>
      <w:numPr>
        <w:numId w:val="14"/>
      </w:numPr>
    </w:pPr>
  </w:style>
  <w:style w:type="paragraph" w:styleId="ListNumber4">
    <w:name w:val="List Number 4"/>
    <w:basedOn w:val="Normal"/>
    <w:semiHidden/>
    <w:rsid w:val="00C0319E"/>
    <w:pPr>
      <w:numPr>
        <w:numId w:val="15"/>
      </w:numPr>
    </w:pPr>
  </w:style>
  <w:style w:type="paragraph" w:styleId="ListNumber5">
    <w:name w:val="List Number 5"/>
    <w:basedOn w:val="Normal"/>
    <w:semiHidden/>
    <w:rsid w:val="00C0319E"/>
    <w:pPr>
      <w:numPr>
        <w:numId w:val="16"/>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uiPriority w:val="22"/>
    <w:qFormat/>
    <w:rsid w:val="00C0319E"/>
    <w:rPr>
      <w:b/>
      <w:bCs/>
    </w:rPr>
  </w:style>
  <w:style w:type="paragraph" w:styleId="Subtitle">
    <w:name w:val="Subtitle"/>
    <w:basedOn w:val="Normal"/>
    <w:qFormat/>
    <w:rsid w:val="00C0319E"/>
    <w:pPr>
      <w:spacing w:after="60"/>
      <w:jc w:val="center"/>
      <w:outlineLvl w:val="1"/>
    </w:pPr>
    <w:rPr>
      <w:rFonts w:ascii="Arial" w:hAnsi="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b/>
      <w:bCs/>
      <w:kern w:val="28"/>
      <w:sz w:val="32"/>
      <w:szCs w:val="32"/>
    </w:rPr>
  </w:style>
  <w:style w:type="paragraph" w:customStyle="1" w:styleId="ChecklistBasis">
    <w:name w:val="Checklist Basis"/>
    <w:link w:val="ChecklistBasisChar"/>
    <w:rsid w:val="00305112"/>
  </w:style>
  <w:style w:type="paragraph" w:customStyle="1" w:styleId="ChecklistName">
    <w:name w:val="Checklist Name"/>
    <w:basedOn w:val="ChecklistBasis"/>
    <w:rsid w:val="00C93AEA"/>
  </w:style>
  <w:style w:type="paragraph" w:customStyle="1" w:styleId="ChecklistLevel1">
    <w:name w:val="Checklist Level 1"/>
    <w:basedOn w:val="ChecklistBasis"/>
    <w:rsid w:val="00BE0B19"/>
    <w:pPr>
      <w:numPr>
        <w:numId w:val="18"/>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7"/>
      </w:numPr>
    </w:pPr>
  </w:style>
  <w:style w:type="paragraph" w:customStyle="1" w:styleId="StatementLevel1">
    <w:name w:val="Statement Level 1"/>
    <w:basedOn w:val="ChecklistBasis"/>
    <w:link w:val="StatementLevel1Char"/>
    <w:rsid w:val="007A2C52"/>
  </w:style>
  <w:style w:type="character" w:customStyle="1" w:styleId="StatementLevel1Char">
    <w:name w:val="Statement Level 1 Char"/>
    <w:link w:val="StatementLevel1"/>
    <w:rsid w:val="007A2C52"/>
    <w:rPr>
      <w:rFonts w:ascii="Arial Narrow" w:hAnsi="Arial Narrow"/>
      <w:szCs w:val="24"/>
      <w:lang w:val="en-US" w:eastAsia="en-US" w:bidi="ar-SA"/>
    </w:rPr>
  </w:style>
  <w:style w:type="paragraph" w:customStyle="1" w:styleId="Yes-No">
    <w:name w:val="Yes-No"/>
    <w:basedOn w:val="StatementLevel1"/>
    <w:rsid w:val="007A2C52"/>
    <w:pPr>
      <w:tabs>
        <w:tab w:val="left" w:pos="720"/>
      </w:tabs>
    </w:pPr>
    <w:rPr>
      <w:b/>
    </w:rPr>
  </w:style>
  <w:style w:type="paragraph" w:customStyle="1" w:styleId="SOPFooter">
    <w:name w:val="SOP Footer"/>
    <w:basedOn w:val="Normal"/>
    <w:rsid w:val="00C951C5"/>
    <w:pPr>
      <w:jc w:val="center"/>
    </w:pPr>
    <w:rPr>
      <w:rFonts w:ascii="Arial" w:hAnsi="Arial" w:cs="Tahoma"/>
      <w:sz w:val="16"/>
      <w:szCs w:val="20"/>
    </w:rPr>
  </w:style>
  <w:style w:type="character" w:customStyle="1" w:styleId="SOPLeader">
    <w:name w:val="SOP Leader"/>
    <w:rsid w:val="001276F1"/>
    <w:rPr>
      <w:rFonts w:ascii="Calibri" w:hAnsi="Calibri"/>
      <w:b/>
      <w:sz w:val="24"/>
    </w:rPr>
  </w:style>
  <w:style w:type="paragraph" w:customStyle="1" w:styleId="SOPName">
    <w:name w:val="SOP Name"/>
    <w:basedOn w:val="Normal"/>
    <w:rsid w:val="001276F1"/>
    <w:rPr>
      <w:rFonts w:ascii="Calibri" w:hAnsi="Calibri" w:cs="Tahoma"/>
      <w:szCs w:val="20"/>
    </w:rPr>
  </w:style>
  <w:style w:type="paragraph" w:customStyle="1" w:styleId="SOPTableHeader">
    <w:name w:val="SOP Table Header"/>
    <w:basedOn w:val="Normal"/>
    <w:rsid w:val="001276F1"/>
    <w:pPr>
      <w:jc w:val="center"/>
    </w:pPr>
    <w:rPr>
      <w:rFonts w:ascii="Calibri" w:hAnsi="Calibri" w:cs="Tahoma"/>
      <w:sz w:val="20"/>
      <w:szCs w:val="20"/>
    </w:rPr>
  </w:style>
  <w:style w:type="paragraph" w:customStyle="1" w:styleId="SOPTableEntry">
    <w:name w:val="SOP Table Entry"/>
    <w:basedOn w:val="SOPTableHeader"/>
    <w:rsid w:val="001276F1"/>
    <w:rPr>
      <w:sz w:val="18"/>
    </w:rPr>
  </w:style>
  <w:style w:type="paragraph" w:styleId="BalloonText">
    <w:name w:val="Balloon Text"/>
    <w:basedOn w:val="Normal"/>
    <w:link w:val="BalloonTextChar"/>
    <w:rsid w:val="00F923CC"/>
    <w:rPr>
      <w:rFonts w:ascii="Tahoma" w:hAnsi="Tahoma" w:cs="Tahoma"/>
      <w:sz w:val="16"/>
      <w:szCs w:val="16"/>
    </w:rPr>
  </w:style>
  <w:style w:type="character" w:customStyle="1" w:styleId="BalloonTextChar">
    <w:name w:val="Balloon Text Char"/>
    <w:basedOn w:val="DefaultParagraphFont"/>
    <w:link w:val="BalloonText"/>
    <w:rsid w:val="00F923CC"/>
    <w:rPr>
      <w:rFonts w:ascii="Tahoma" w:hAnsi="Tahoma" w:cs="Tahoma"/>
      <w:sz w:val="16"/>
      <w:szCs w:val="16"/>
    </w:rPr>
  </w:style>
  <w:style w:type="character" w:customStyle="1" w:styleId="ChecklistBasisChar">
    <w:name w:val="Checklist Basis Char"/>
    <w:link w:val="ChecklistBasis"/>
    <w:rsid w:val="004B67BF"/>
    <w:rPr>
      <w:rFonts w:ascii="Arial Narrow" w:hAnsi="Arial Narrow"/>
      <w:szCs w:val="24"/>
    </w:rPr>
  </w:style>
  <w:style w:type="paragraph" w:customStyle="1" w:styleId="MediumGrid1-Accent21">
    <w:name w:val="Medium Grid 1 - Accent 21"/>
    <w:basedOn w:val="Normal"/>
    <w:uiPriority w:val="34"/>
    <w:qFormat/>
    <w:rsid w:val="00B542B6"/>
    <w:pPr>
      <w:ind w:left="720"/>
    </w:pPr>
    <w:rPr>
      <w:rFonts w:ascii="Garamond" w:hAnsi="Garamond"/>
    </w:rPr>
  </w:style>
  <w:style w:type="paragraph" w:styleId="ListParagraph">
    <w:name w:val="List Paragraph"/>
    <w:basedOn w:val="Normal"/>
    <w:uiPriority w:val="34"/>
    <w:qFormat/>
    <w:rsid w:val="00C54F03"/>
    <w:pPr>
      <w:ind w:left="720"/>
      <w:contextualSpacing/>
    </w:pPr>
  </w:style>
  <w:style w:type="character" w:styleId="CommentReference">
    <w:name w:val="annotation reference"/>
    <w:basedOn w:val="DefaultParagraphFont"/>
    <w:semiHidden/>
    <w:unhideWhenUsed/>
    <w:rsid w:val="00E46143"/>
    <w:rPr>
      <w:sz w:val="16"/>
      <w:szCs w:val="16"/>
    </w:rPr>
  </w:style>
  <w:style w:type="paragraph" w:styleId="CommentText">
    <w:name w:val="annotation text"/>
    <w:basedOn w:val="Normal"/>
    <w:link w:val="CommentTextChar"/>
    <w:semiHidden/>
    <w:unhideWhenUsed/>
    <w:rsid w:val="00E46143"/>
    <w:rPr>
      <w:sz w:val="20"/>
      <w:szCs w:val="20"/>
    </w:rPr>
  </w:style>
  <w:style w:type="character" w:customStyle="1" w:styleId="CommentTextChar">
    <w:name w:val="Comment Text Char"/>
    <w:basedOn w:val="DefaultParagraphFont"/>
    <w:link w:val="CommentText"/>
    <w:semiHidden/>
    <w:rsid w:val="00E46143"/>
  </w:style>
  <w:style w:type="paragraph" w:styleId="CommentSubject">
    <w:name w:val="annotation subject"/>
    <w:basedOn w:val="CommentText"/>
    <w:next w:val="CommentText"/>
    <w:link w:val="CommentSubjectChar"/>
    <w:semiHidden/>
    <w:unhideWhenUsed/>
    <w:rsid w:val="00E46143"/>
    <w:rPr>
      <w:b/>
      <w:bCs/>
    </w:rPr>
  </w:style>
  <w:style w:type="character" w:customStyle="1" w:styleId="CommentSubjectChar">
    <w:name w:val="Comment Subject Char"/>
    <w:basedOn w:val="CommentTextChar"/>
    <w:link w:val="CommentSubject"/>
    <w:semiHidden/>
    <w:rsid w:val="00E46143"/>
    <w:rPr>
      <w:b/>
      <w:bCs/>
    </w:rPr>
  </w:style>
  <w:style w:type="character" w:customStyle="1" w:styleId="FooterChar">
    <w:name w:val="Footer Char"/>
    <w:basedOn w:val="DefaultParagraphFont"/>
    <w:link w:val="Footer"/>
    <w:uiPriority w:val="99"/>
    <w:rsid w:val="00835536"/>
    <w:rPr>
      <w:sz w:val="24"/>
      <w:szCs w:val="24"/>
    </w:rPr>
  </w:style>
  <w:style w:type="paragraph" w:styleId="Revision">
    <w:name w:val="Revision"/>
    <w:hidden/>
    <w:uiPriority w:val="99"/>
    <w:semiHidden/>
    <w:rsid w:val="0005169E"/>
  </w:style>
  <w:style w:type="character" w:customStyle="1" w:styleId="UnresolvedMention1">
    <w:name w:val="Unresolved Mention1"/>
    <w:basedOn w:val="DefaultParagraphFont"/>
    <w:uiPriority w:val="99"/>
    <w:semiHidden/>
    <w:unhideWhenUsed/>
    <w:rsid w:val="00E3620C"/>
    <w:rPr>
      <w:color w:val="605E5C"/>
      <w:shd w:val="clear" w:color="auto" w:fill="E1DFDD"/>
    </w:rPr>
  </w:style>
  <w:style w:type="character" w:customStyle="1" w:styleId="UnresolvedMention2">
    <w:name w:val="Unresolved Mention2"/>
    <w:basedOn w:val="DefaultParagraphFont"/>
    <w:uiPriority w:val="99"/>
    <w:semiHidden/>
    <w:unhideWhenUsed/>
    <w:rsid w:val="00B04216"/>
    <w:rPr>
      <w:color w:val="605E5C"/>
      <w:shd w:val="clear" w:color="auto" w:fill="E1DFDD"/>
    </w:rPr>
  </w:style>
  <w:style w:type="character" w:customStyle="1" w:styleId="normaltextrun">
    <w:name w:val="normaltextrun"/>
    <w:basedOn w:val="DefaultParagraphFont"/>
    <w:rsid w:val="000C0E82"/>
  </w:style>
  <w:style w:type="character" w:customStyle="1" w:styleId="spellingerror">
    <w:name w:val="spellingerror"/>
    <w:basedOn w:val="DefaultParagraphFont"/>
    <w:rsid w:val="000C0E82"/>
  </w:style>
  <w:style w:type="character" w:customStyle="1" w:styleId="eop">
    <w:name w:val="eop"/>
    <w:basedOn w:val="DefaultParagraphFont"/>
    <w:rsid w:val="000C0E82"/>
  </w:style>
  <w:style w:type="character" w:customStyle="1" w:styleId="contextualspellingandgrammarerror">
    <w:name w:val="contextualspellingandgrammarerror"/>
    <w:basedOn w:val="DefaultParagraphFont"/>
    <w:rsid w:val="00806CB4"/>
  </w:style>
  <w:style w:type="character" w:customStyle="1" w:styleId="UnresolvedMention3">
    <w:name w:val="Unresolved Mention3"/>
    <w:basedOn w:val="DefaultParagraphFont"/>
    <w:uiPriority w:val="99"/>
    <w:semiHidden/>
    <w:unhideWhenUsed/>
    <w:rsid w:val="00D90B7E"/>
    <w:rPr>
      <w:color w:val="605E5C"/>
      <w:shd w:val="clear" w:color="auto" w:fill="E1DFDD"/>
    </w:rPr>
  </w:style>
  <w:style w:type="character" w:customStyle="1" w:styleId="UnresolvedMention">
    <w:name w:val="Unresolved Mention"/>
    <w:basedOn w:val="DefaultParagraphFont"/>
    <w:uiPriority w:val="99"/>
    <w:semiHidden/>
    <w:unhideWhenUsed/>
    <w:rsid w:val="00CA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5808">
      <w:bodyDiv w:val="1"/>
      <w:marLeft w:val="0"/>
      <w:marRight w:val="0"/>
      <w:marTop w:val="0"/>
      <w:marBottom w:val="0"/>
      <w:divBdr>
        <w:top w:val="none" w:sz="0" w:space="0" w:color="auto"/>
        <w:left w:val="none" w:sz="0" w:space="0" w:color="auto"/>
        <w:bottom w:val="none" w:sz="0" w:space="0" w:color="auto"/>
        <w:right w:val="none" w:sz="0" w:space="0" w:color="auto"/>
      </w:divBdr>
    </w:div>
    <w:div w:id="238175169">
      <w:bodyDiv w:val="1"/>
      <w:marLeft w:val="0"/>
      <w:marRight w:val="0"/>
      <w:marTop w:val="0"/>
      <w:marBottom w:val="0"/>
      <w:divBdr>
        <w:top w:val="none" w:sz="0" w:space="0" w:color="auto"/>
        <w:left w:val="none" w:sz="0" w:space="0" w:color="auto"/>
        <w:bottom w:val="none" w:sz="0" w:space="0" w:color="auto"/>
        <w:right w:val="none" w:sz="0" w:space="0" w:color="auto"/>
      </w:divBdr>
      <w:divsChild>
        <w:div w:id="1526401680">
          <w:marLeft w:val="0"/>
          <w:marRight w:val="0"/>
          <w:marTop w:val="0"/>
          <w:marBottom w:val="0"/>
          <w:divBdr>
            <w:top w:val="none" w:sz="0" w:space="0" w:color="auto"/>
            <w:left w:val="none" w:sz="0" w:space="0" w:color="auto"/>
            <w:bottom w:val="none" w:sz="0" w:space="0" w:color="auto"/>
            <w:right w:val="none" w:sz="0" w:space="0" w:color="auto"/>
          </w:divBdr>
          <w:divsChild>
            <w:div w:id="572935916">
              <w:marLeft w:val="0"/>
              <w:marRight w:val="0"/>
              <w:marTop w:val="0"/>
              <w:marBottom w:val="0"/>
              <w:divBdr>
                <w:top w:val="none" w:sz="0" w:space="0" w:color="auto"/>
                <w:left w:val="none" w:sz="0" w:space="0" w:color="auto"/>
                <w:bottom w:val="none" w:sz="0" w:space="0" w:color="auto"/>
                <w:right w:val="none" w:sz="0" w:space="0" w:color="auto"/>
              </w:divBdr>
            </w:div>
          </w:divsChild>
        </w:div>
        <w:div w:id="357128227">
          <w:marLeft w:val="0"/>
          <w:marRight w:val="0"/>
          <w:marTop w:val="0"/>
          <w:marBottom w:val="0"/>
          <w:divBdr>
            <w:top w:val="none" w:sz="0" w:space="0" w:color="auto"/>
            <w:left w:val="none" w:sz="0" w:space="0" w:color="auto"/>
            <w:bottom w:val="none" w:sz="0" w:space="0" w:color="auto"/>
            <w:right w:val="none" w:sz="0" w:space="0" w:color="auto"/>
          </w:divBdr>
          <w:divsChild>
            <w:div w:id="9071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500">
      <w:bodyDiv w:val="1"/>
      <w:marLeft w:val="0"/>
      <w:marRight w:val="0"/>
      <w:marTop w:val="0"/>
      <w:marBottom w:val="0"/>
      <w:divBdr>
        <w:top w:val="none" w:sz="0" w:space="0" w:color="auto"/>
        <w:left w:val="none" w:sz="0" w:space="0" w:color="auto"/>
        <w:bottom w:val="none" w:sz="0" w:space="0" w:color="auto"/>
        <w:right w:val="none" w:sz="0" w:space="0" w:color="auto"/>
      </w:divBdr>
    </w:div>
    <w:div w:id="434907988">
      <w:bodyDiv w:val="1"/>
      <w:marLeft w:val="0"/>
      <w:marRight w:val="0"/>
      <w:marTop w:val="0"/>
      <w:marBottom w:val="0"/>
      <w:divBdr>
        <w:top w:val="none" w:sz="0" w:space="0" w:color="auto"/>
        <w:left w:val="none" w:sz="0" w:space="0" w:color="auto"/>
        <w:bottom w:val="none" w:sz="0" w:space="0" w:color="auto"/>
        <w:right w:val="none" w:sz="0" w:space="0" w:color="auto"/>
      </w:divBdr>
    </w:div>
    <w:div w:id="608665087">
      <w:bodyDiv w:val="1"/>
      <w:marLeft w:val="0"/>
      <w:marRight w:val="0"/>
      <w:marTop w:val="0"/>
      <w:marBottom w:val="0"/>
      <w:divBdr>
        <w:top w:val="none" w:sz="0" w:space="0" w:color="auto"/>
        <w:left w:val="none" w:sz="0" w:space="0" w:color="auto"/>
        <w:bottom w:val="none" w:sz="0" w:space="0" w:color="auto"/>
        <w:right w:val="none" w:sz="0" w:space="0" w:color="auto"/>
      </w:divBdr>
    </w:div>
    <w:div w:id="860901566">
      <w:bodyDiv w:val="1"/>
      <w:marLeft w:val="0"/>
      <w:marRight w:val="0"/>
      <w:marTop w:val="0"/>
      <w:marBottom w:val="0"/>
      <w:divBdr>
        <w:top w:val="none" w:sz="0" w:space="0" w:color="auto"/>
        <w:left w:val="none" w:sz="0" w:space="0" w:color="auto"/>
        <w:bottom w:val="none" w:sz="0" w:space="0" w:color="auto"/>
        <w:right w:val="none" w:sz="0" w:space="0" w:color="auto"/>
      </w:divBdr>
    </w:div>
    <w:div w:id="862404951">
      <w:bodyDiv w:val="1"/>
      <w:marLeft w:val="0"/>
      <w:marRight w:val="0"/>
      <w:marTop w:val="0"/>
      <w:marBottom w:val="0"/>
      <w:divBdr>
        <w:top w:val="none" w:sz="0" w:space="0" w:color="auto"/>
        <w:left w:val="none" w:sz="0" w:space="0" w:color="auto"/>
        <w:bottom w:val="none" w:sz="0" w:space="0" w:color="auto"/>
        <w:right w:val="none" w:sz="0" w:space="0" w:color="auto"/>
      </w:divBdr>
      <w:divsChild>
        <w:div w:id="2137486739">
          <w:marLeft w:val="0"/>
          <w:marRight w:val="0"/>
          <w:marTop w:val="0"/>
          <w:marBottom w:val="0"/>
          <w:divBdr>
            <w:top w:val="none" w:sz="0" w:space="0" w:color="auto"/>
            <w:left w:val="none" w:sz="0" w:space="0" w:color="auto"/>
            <w:bottom w:val="none" w:sz="0" w:space="0" w:color="auto"/>
            <w:right w:val="none" w:sz="0" w:space="0" w:color="auto"/>
          </w:divBdr>
        </w:div>
      </w:divsChild>
    </w:div>
    <w:div w:id="1463308997">
      <w:bodyDiv w:val="1"/>
      <w:marLeft w:val="0"/>
      <w:marRight w:val="0"/>
      <w:marTop w:val="0"/>
      <w:marBottom w:val="0"/>
      <w:divBdr>
        <w:top w:val="none" w:sz="0" w:space="0" w:color="auto"/>
        <w:left w:val="none" w:sz="0" w:space="0" w:color="auto"/>
        <w:bottom w:val="none" w:sz="0" w:space="0" w:color="auto"/>
        <w:right w:val="none" w:sz="0" w:space="0" w:color="auto"/>
      </w:divBdr>
    </w:div>
    <w:div w:id="1574730593">
      <w:bodyDiv w:val="1"/>
      <w:marLeft w:val="0"/>
      <w:marRight w:val="0"/>
      <w:marTop w:val="0"/>
      <w:marBottom w:val="0"/>
      <w:divBdr>
        <w:top w:val="none" w:sz="0" w:space="0" w:color="auto"/>
        <w:left w:val="none" w:sz="0" w:space="0" w:color="auto"/>
        <w:bottom w:val="none" w:sz="0" w:space="0" w:color="auto"/>
        <w:right w:val="none" w:sz="0" w:space="0" w:color="auto"/>
      </w:divBdr>
    </w:div>
    <w:div w:id="1713922851">
      <w:bodyDiv w:val="1"/>
      <w:marLeft w:val="0"/>
      <w:marRight w:val="0"/>
      <w:marTop w:val="0"/>
      <w:marBottom w:val="0"/>
      <w:divBdr>
        <w:top w:val="none" w:sz="0" w:space="0" w:color="auto"/>
        <w:left w:val="none" w:sz="0" w:space="0" w:color="auto"/>
        <w:bottom w:val="none" w:sz="0" w:space="0" w:color="auto"/>
        <w:right w:val="none" w:sz="0" w:space="0" w:color="auto"/>
      </w:divBdr>
    </w:div>
    <w:div w:id="1732921930">
      <w:bodyDiv w:val="1"/>
      <w:marLeft w:val="0"/>
      <w:marRight w:val="0"/>
      <w:marTop w:val="0"/>
      <w:marBottom w:val="0"/>
      <w:divBdr>
        <w:top w:val="none" w:sz="0" w:space="0" w:color="auto"/>
        <w:left w:val="none" w:sz="0" w:space="0" w:color="auto"/>
        <w:bottom w:val="none" w:sz="0" w:space="0" w:color="auto"/>
        <w:right w:val="none" w:sz="0" w:space="0" w:color="auto"/>
      </w:divBdr>
    </w:div>
    <w:div w:id="1793284925">
      <w:bodyDiv w:val="1"/>
      <w:marLeft w:val="0"/>
      <w:marRight w:val="0"/>
      <w:marTop w:val="0"/>
      <w:marBottom w:val="0"/>
      <w:divBdr>
        <w:top w:val="none" w:sz="0" w:space="0" w:color="auto"/>
        <w:left w:val="none" w:sz="0" w:space="0" w:color="auto"/>
        <w:bottom w:val="none" w:sz="0" w:space="0" w:color="auto"/>
        <w:right w:val="none" w:sz="0" w:space="0" w:color="auto"/>
      </w:divBdr>
    </w:div>
    <w:div w:id="1834103533">
      <w:bodyDiv w:val="1"/>
      <w:marLeft w:val="0"/>
      <w:marRight w:val="0"/>
      <w:marTop w:val="0"/>
      <w:marBottom w:val="0"/>
      <w:divBdr>
        <w:top w:val="none" w:sz="0" w:space="0" w:color="auto"/>
        <w:left w:val="none" w:sz="0" w:space="0" w:color="auto"/>
        <w:bottom w:val="none" w:sz="0" w:space="0" w:color="auto"/>
        <w:right w:val="none" w:sz="0" w:space="0" w:color="auto"/>
      </w:divBdr>
    </w:div>
    <w:div w:id="20309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3-gdpr/" TargetMode="External"/><Relationship Id="rId13" Type="http://schemas.openxmlformats.org/officeDocument/2006/relationships/hyperlink" Target="https://gdpr-info.eu/art-2-gdpr/" TargetMode="External"/><Relationship Id="rId18" Type="http://schemas.openxmlformats.org/officeDocument/2006/relationships/hyperlink" Target="https://gdpr-info.eu/" TargetMode="External"/><Relationship Id="rId26" Type="http://schemas.openxmlformats.org/officeDocument/2006/relationships/hyperlink" Target="https://totalhip.wpengine.com/protected-health-information-phi-101/" TargetMode="External"/><Relationship Id="rId3" Type="http://schemas.openxmlformats.org/officeDocument/2006/relationships/styles" Target="styles.xml"/><Relationship Id="rId21" Type="http://schemas.openxmlformats.org/officeDocument/2006/relationships/hyperlink" Target="https://edpb.europa.eu/edpb_en" TargetMode="External"/><Relationship Id="rId7" Type="http://schemas.openxmlformats.org/officeDocument/2006/relationships/endnotes" Target="endnotes.xml"/><Relationship Id="rId12" Type="http://schemas.openxmlformats.org/officeDocument/2006/relationships/hyperlink" Target="https://gdpr-info.eu/art-9-gdpr/" TargetMode="External"/><Relationship Id="rId17" Type="http://schemas.openxmlformats.org/officeDocument/2006/relationships/hyperlink" Target="https://orra.rutgers.edu/hsppguidance" TargetMode="External"/><Relationship Id="rId25" Type="http://schemas.openxmlformats.org/officeDocument/2006/relationships/hyperlink" Target="https://www.i-scoop.eu/gdpr-encryption/"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cad=rja&amp;uact=8&amp;ved=2ahUKEwjz-7zM2bvrAhUjoXIEHb1DAX4QFjABegQIChAE&amp;url=https%3A%2F%2Fec.europa.eu%2Fjustice%2Farticle-29%2Fdocumentation%2Fopinion-recommendation%2Ffiles%2F2014%2Fwp216_en.pdf&amp;usg=AOvVaw0WnSkyDWQZ9IXWo1b3k6rM" TargetMode="External"/><Relationship Id="rId20" Type="http://schemas.openxmlformats.org/officeDocument/2006/relationships/hyperlink" Target="https://ico.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ustice/article-29/documentation/opinion-recommendation/files/2014/wp216_en.pdf" TargetMode="External"/><Relationship Id="rId24" Type="http://schemas.openxmlformats.org/officeDocument/2006/relationships/hyperlink" Target="https://gdpr-info.eu/recitals/no-26/" TargetMode="External"/><Relationship Id="rId5" Type="http://schemas.openxmlformats.org/officeDocument/2006/relationships/webSettings" Target="webSettings.xml"/><Relationship Id="rId15" Type="http://schemas.openxmlformats.org/officeDocument/2006/relationships/hyperlink" Target="https://gdpr-info.eu/recitals/no-26/" TargetMode="External"/><Relationship Id="rId23" Type="http://schemas.openxmlformats.org/officeDocument/2006/relationships/hyperlink" Target="https://www.hhs.gov/ohrp/regulations-and-policy/regulations/45-cfr-46/index.html" TargetMode="External"/><Relationship Id="rId28" Type="http://schemas.openxmlformats.org/officeDocument/2006/relationships/footer" Target="footer1.xml"/><Relationship Id="rId10" Type="http://schemas.openxmlformats.org/officeDocument/2006/relationships/hyperlink" Target="https://gdpr-info.eu/art-4-gdpr/" TargetMode="External"/><Relationship Id="rId19" Type="http://schemas.openxmlformats.org/officeDocument/2006/relationships/hyperlink" Target="https://gdpr-info.eu/art-4-gdpr/" TargetMode="External"/><Relationship Id="rId4" Type="http://schemas.openxmlformats.org/officeDocument/2006/relationships/settings" Target="settings.xml"/><Relationship Id="rId9" Type="http://schemas.openxmlformats.org/officeDocument/2006/relationships/hyperlink" Target="https://gdpr-info.eu/art-3-gdpr/" TargetMode="External"/><Relationship Id="rId14" Type="http://schemas.openxmlformats.org/officeDocument/2006/relationships/hyperlink" Target="https://gdpr-info.eu/art-4-gdpr/" TargetMode="External"/><Relationship Id="rId22" Type="http://schemas.openxmlformats.org/officeDocument/2006/relationships/hyperlink" Target="https://gdpr-info.eu/issues/personal-dat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59A3-EB32-4837-9611-71C7BECA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1405</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WORKSHEET: Advertisements</vt:lpstr>
    </vt:vector>
  </TitlesOfParts>
  <Manager>Huron Consulting Group, Inc.</Manager>
  <Company>Huron Consulting Group, Inc.</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Advertisements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Malica Dock</cp:lastModifiedBy>
  <cp:revision>27</cp:revision>
  <cp:lastPrinted>2019-05-15T20:21:00Z</cp:lastPrinted>
  <dcterms:created xsi:type="dcterms:W3CDTF">2020-07-08T15:44:00Z</dcterms:created>
  <dcterms:modified xsi:type="dcterms:W3CDTF">2021-06-22T20:19:00Z</dcterms:modified>
  <cp:category>WORKSHEET</cp:category>
</cp:coreProperties>
</file>