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A0A4" w14:textId="2ED796B6" w:rsidR="00401D2E" w:rsidRDefault="00401D2E" w:rsidP="00744F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49"/>
        <w:gridCol w:w="9874"/>
      </w:tblGrid>
      <w:tr w:rsidR="00401D2E" w:rsidRPr="00E23FD6" w14:paraId="53066FD5" w14:textId="77777777" w:rsidTr="00B05C58">
        <w:trPr>
          <w:cantSplit/>
        </w:trPr>
        <w:tc>
          <w:tcPr>
            <w:tcW w:w="11016" w:type="dxa"/>
            <w:gridSpan w:val="3"/>
          </w:tcPr>
          <w:p w14:paraId="446ADF54" w14:textId="77777777" w:rsidR="00401D2E" w:rsidRPr="00E23FD6" w:rsidRDefault="00401D2E" w:rsidP="00B05C58">
            <w:pPr>
              <w:pStyle w:val="ChecklistBasis"/>
            </w:pPr>
            <w:r w:rsidRPr="00E23FD6">
              <w:t xml:space="preserve">The purpose of this worksheet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subjec</w:t>
            </w:r>
            <w:r w:rsidRPr="00945B17">
              <w:t xml:space="preserve">ts. Pursuant to NJ Access to Medical Research Act, LARs may not receive financial compensation for providing the consent.  </w:t>
            </w:r>
            <w:r w:rsidRPr="00766292">
              <w:t>This worksheet is to be used. It does not have to be completed or retained.</w:t>
            </w:r>
          </w:p>
        </w:tc>
      </w:tr>
      <w:tr w:rsidR="00401D2E" w:rsidRPr="00E23FD6" w14:paraId="6206DD76" w14:textId="77777777" w:rsidTr="00B05C58">
        <w:trPr>
          <w:trHeight w:hRule="exact" w:val="72"/>
        </w:trPr>
        <w:tc>
          <w:tcPr>
            <w:tcW w:w="11016" w:type="dxa"/>
            <w:gridSpan w:val="3"/>
            <w:shd w:val="clear" w:color="auto" w:fill="000000" w:themeFill="text1"/>
          </w:tcPr>
          <w:p w14:paraId="38FD21CF" w14:textId="77777777" w:rsidR="00401D2E" w:rsidRPr="00E23FD6" w:rsidRDefault="00401D2E" w:rsidP="00B05C58"/>
        </w:tc>
      </w:tr>
      <w:tr w:rsidR="00401D2E" w:rsidRPr="00E23FD6" w14:paraId="6A5A8EA5" w14:textId="77777777" w:rsidTr="00B05C58">
        <w:tc>
          <w:tcPr>
            <w:tcW w:w="11016" w:type="dxa"/>
            <w:gridSpan w:val="3"/>
          </w:tcPr>
          <w:p w14:paraId="3C6ADAD9" w14:textId="77777777" w:rsidR="00401D2E" w:rsidRPr="00E23FD6" w:rsidRDefault="00401D2E" w:rsidP="00B05C58">
            <w:pPr>
              <w:pStyle w:val="ChecklistLevel1"/>
            </w:pPr>
            <w:r w:rsidRPr="00E23FD6">
              <w:t xml:space="preserve">Requirements for Payments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401D2E" w:rsidRPr="00E23FD6" w14:paraId="1FAFF97D" w14:textId="77777777" w:rsidTr="00B05C58">
        <w:sdt>
          <w:sdtPr>
            <w:id w:val="11595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14:paraId="2F1F4BA6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5EA5F4DF" w14:textId="77777777" w:rsidR="00401D2E" w:rsidRPr="00E23FD6" w:rsidRDefault="00401D2E" w:rsidP="00B05C58">
            <w:pPr>
              <w:pStyle w:val="StatementLevel1"/>
            </w:pPr>
            <w:r w:rsidRPr="00E23FD6">
              <w:t>All payments are described in the protocol including:</w:t>
            </w:r>
            <w:r w:rsidRPr="00D67221">
              <w:rPr>
                <w:b/>
              </w:rPr>
              <w:t xml:space="preserve"> </w:t>
            </w:r>
            <w:r w:rsidRPr="003B2D94">
              <w:t xml:space="preserve">(Check if </w:t>
            </w:r>
            <w:r w:rsidRPr="003B2D94">
              <w:rPr>
                <w:b/>
              </w:rPr>
              <w:t>“Yes”</w:t>
            </w:r>
            <w:r w:rsidRPr="003B2D94">
              <w:t>. All must be checked)</w:t>
            </w:r>
          </w:p>
        </w:tc>
      </w:tr>
      <w:tr w:rsidR="00401D2E" w:rsidRPr="00E23FD6" w14:paraId="7D5BE297" w14:textId="77777777" w:rsidTr="00B05C58">
        <w:tc>
          <w:tcPr>
            <w:tcW w:w="468" w:type="dxa"/>
            <w:vMerge/>
          </w:tcPr>
          <w:p w14:paraId="3D02E828" w14:textId="77777777" w:rsidR="00401D2E" w:rsidRPr="00E23FD6" w:rsidRDefault="00401D2E" w:rsidP="00B05C58">
            <w:pPr>
              <w:pStyle w:val="Yes-No"/>
            </w:pPr>
          </w:p>
        </w:tc>
        <w:sdt>
          <w:sdtPr>
            <w:id w:val="40348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39125C4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6262A4DF" w14:textId="77777777" w:rsidR="00401D2E" w:rsidRPr="00E23FD6" w:rsidRDefault="00401D2E" w:rsidP="00B05C58">
            <w:pPr>
              <w:pStyle w:val="StatementLevel1"/>
            </w:pPr>
            <w:r w:rsidRPr="00E23FD6">
              <w:t>Amount</w:t>
            </w:r>
          </w:p>
        </w:tc>
      </w:tr>
      <w:tr w:rsidR="00401D2E" w:rsidRPr="00E23FD6" w14:paraId="427D6CA5" w14:textId="77777777" w:rsidTr="00B05C58">
        <w:tc>
          <w:tcPr>
            <w:tcW w:w="468" w:type="dxa"/>
            <w:vMerge/>
          </w:tcPr>
          <w:p w14:paraId="4910A40E" w14:textId="77777777" w:rsidR="00401D2E" w:rsidRPr="00E23FD6" w:rsidRDefault="00401D2E" w:rsidP="00B05C58">
            <w:pPr>
              <w:pStyle w:val="Yes-No"/>
            </w:pPr>
          </w:p>
        </w:tc>
        <w:sdt>
          <w:sdtPr>
            <w:id w:val="-12049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E7287D4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2AD18238" w14:textId="77777777" w:rsidR="00401D2E" w:rsidRPr="00E23FD6" w:rsidRDefault="00401D2E" w:rsidP="00B05C58">
            <w:pPr>
              <w:pStyle w:val="StatementLevel1"/>
            </w:pPr>
            <w:r w:rsidRPr="00E23FD6">
              <w:t>Method</w:t>
            </w:r>
          </w:p>
        </w:tc>
      </w:tr>
      <w:tr w:rsidR="00401D2E" w:rsidRPr="00E23FD6" w14:paraId="6CBCC764" w14:textId="77777777" w:rsidTr="00B05C58">
        <w:tc>
          <w:tcPr>
            <w:tcW w:w="468" w:type="dxa"/>
            <w:vMerge/>
          </w:tcPr>
          <w:p w14:paraId="60BDC8A9" w14:textId="77777777" w:rsidR="00401D2E" w:rsidRPr="00E23FD6" w:rsidRDefault="00401D2E" w:rsidP="00B05C58">
            <w:pPr>
              <w:pStyle w:val="Yes-No"/>
            </w:pPr>
          </w:p>
        </w:tc>
        <w:sdt>
          <w:sdtPr>
            <w:id w:val="-8531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BC7E99D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6F5A0D4A" w14:textId="77777777" w:rsidR="00401D2E" w:rsidRPr="00E23FD6" w:rsidRDefault="00401D2E" w:rsidP="00B05C58">
            <w:pPr>
              <w:pStyle w:val="StatementLevel1"/>
            </w:pPr>
            <w:r w:rsidRPr="00E23FD6">
              <w:t>Timing of disbursement</w:t>
            </w:r>
          </w:p>
        </w:tc>
      </w:tr>
      <w:tr w:rsidR="00401D2E" w:rsidRPr="00E23FD6" w14:paraId="72456E44" w14:textId="77777777" w:rsidTr="00B05C58">
        <w:sdt>
          <w:sdtPr>
            <w:id w:val="-16529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13A3CBE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523910C6" w14:textId="77777777" w:rsidR="00401D2E" w:rsidRPr="00E23FD6" w:rsidRDefault="00401D2E" w:rsidP="00B05C58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401D2E" w:rsidRPr="00E23FD6" w14:paraId="606622B2" w14:textId="77777777" w:rsidTr="00B05C58">
        <w:sdt>
          <w:sdtPr>
            <w:id w:val="199683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CA42DF2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718397DE" w14:textId="77777777" w:rsidR="00401D2E" w:rsidRPr="00E23FD6" w:rsidRDefault="00401D2E" w:rsidP="00B05C58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401D2E" w:rsidRPr="00E23FD6" w14:paraId="65567C74" w14:textId="77777777" w:rsidTr="00B05C58">
        <w:sdt>
          <w:sdtPr>
            <w:id w:val="-5355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94DFB07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4FA418C1" w14:textId="77777777" w:rsidR="00401D2E" w:rsidRPr="00E23FD6" w:rsidRDefault="00401D2E" w:rsidP="00B05C58">
            <w:pPr>
              <w:pStyle w:val="StatementLevel1"/>
            </w:pPr>
            <w:r w:rsidRPr="00E23FD6">
              <w:t>The amount of payment and the proposed method and timing of disbursement is neither coercive nor presented undue influence.</w:t>
            </w:r>
          </w:p>
        </w:tc>
      </w:tr>
      <w:tr w:rsidR="00401D2E" w:rsidRPr="00E23FD6" w14:paraId="616A0D4F" w14:textId="77777777" w:rsidTr="00B05C58">
        <w:sdt>
          <w:sdtPr>
            <w:id w:val="24106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1F14DE6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61464FA3" w14:textId="77777777" w:rsidR="00401D2E" w:rsidRPr="00E23FD6" w:rsidRDefault="00401D2E" w:rsidP="00B05C58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401D2E" w:rsidRPr="00E23FD6" w14:paraId="19C091FD" w14:textId="77777777" w:rsidTr="00B05C58">
        <w:sdt>
          <w:sdtPr>
            <w:id w:val="1883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8D7B86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1AC885C5" w14:textId="77777777" w:rsidR="00401D2E" w:rsidRPr="00E23FD6" w:rsidRDefault="00401D2E" w:rsidP="00B05C58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401D2E" w:rsidRPr="00E23FD6" w14:paraId="6B72BB4E" w14:textId="77777777" w:rsidTr="00B05C58">
        <w:sdt>
          <w:sdtPr>
            <w:id w:val="145189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BAD4BF7" w14:textId="77777777" w:rsidR="00401D2E" w:rsidRPr="00E23FD6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1247E6ED" w14:textId="77777777" w:rsidR="00401D2E" w:rsidRPr="00E23FD6" w:rsidRDefault="00401D2E" w:rsidP="00B05C58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401D2E" w:rsidRPr="00E23FD6" w14:paraId="121AE391" w14:textId="77777777" w:rsidTr="00B05C58">
        <w:sdt>
          <w:sdtPr>
            <w:id w:val="-18961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B889BCB" w14:textId="77777777" w:rsidR="00401D2E" w:rsidRDefault="00401D2E" w:rsidP="00B05C5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32CD8959" w14:textId="77777777" w:rsidR="00401D2E" w:rsidRPr="00E23FD6" w:rsidRDefault="00401D2E" w:rsidP="00B05C58">
            <w:pPr>
              <w:pStyle w:val="StatementLevel1"/>
            </w:pPr>
            <w:r>
              <w:t>When prison research is proposed, payments comply with applicable state law.</w:t>
            </w:r>
          </w:p>
        </w:tc>
      </w:tr>
      <w:tr w:rsidR="00401D2E" w:rsidRPr="00E23FD6" w14:paraId="0131541E" w14:textId="77777777" w:rsidTr="00B05C58">
        <w:trPr>
          <w:trHeight w:hRule="exact" w:val="72"/>
        </w:trPr>
        <w:tc>
          <w:tcPr>
            <w:tcW w:w="11016" w:type="dxa"/>
            <w:gridSpan w:val="3"/>
            <w:shd w:val="clear" w:color="auto" w:fill="000000" w:themeFill="text1"/>
          </w:tcPr>
          <w:p w14:paraId="2C98E90D" w14:textId="77777777" w:rsidR="00401D2E" w:rsidRPr="00E23FD6" w:rsidRDefault="00401D2E" w:rsidP="00B05C58"/>
        </w:tc>
      </w:tr>
    </w:tbl>
    <w:p w14:paraId="1FBD8382" w14:textId="77777777" w:rsidR="00401D2E" w:rsidRPr="00C823A0" w:rsidRDefault="00401D2E" w:rsidP="00744F5E"/>
    <w:sectPr w:rsidR="00401D2E" w:rsidRPr="00C823A0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A0DA" w14:textId="77777777" w:rsidR="00D443C8" w:rsidRDefault="00D443C8">
      <w:r>
        <w:separator/>
      </w:r>
    </w:p>
  </w:endnote>
  <w:endnote w:type="continuationSeparator" w:id="0">
    <w:p w14:paraId="1C93CC68" w14:textId="77777777" w:rsidR="00D443C8" w:rsidRDefault="00D443C8">
      <w:r>
        <w:continuationSeparator/>
      </w:r>
    </w:p>
  </w:endnote>
  <w:endnote w:type="continuationNotice" w:id="1">
    <w:p w14:paraId="6D1BD5A2" w14:textId="77777777" w:rsidR="00D443C8" w:rsidRDefault="00D44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0EAC" w14:textId="7DE7F865" w:rsidR="00CB02A3" w:rsidRPr="002036DA" w:rsidRDefault="00CB02A3" w:rsidP="00EB620B">
    <w:pPr>
      <w:pStyle w:val="SOPFooter"/>
      <w:tabs>
        <w:tab w:val="right" w:pos="9720"/>
        <w:tab w:val="right" w:pos="1062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2886" w14:textId="77777777" w:rsidR="00D443C8" w:rsidRDefault="00D443C8">
      <w:r>
        <w:separator/>
      </w:r>
    </w:p>
  </w:footnote>
  <w:footnote w:type="continuationSeparator" w:id="0">
    <w:p w14:paraId="5AA496A2" w14:textId="77777777" w:rsidR="00D443C8" w:rsidRDefault="00D443C8">
      <w:r>
        <w:continuationSeparator/>
      </w:r>
    </w:p>
  </w:footnote>
  <w:footnote w:type="continuationNotice" w:id="1">
    <w:p w14:paraId="12953B64" w14:textId="77777777" w:rsidR="00D443C8" w:rsidRDefault="00D44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3"/>
      <w:gridCol w:w="3121"/>
      <w:gridCol w:w="2255"/>
      <w:gridCol w:w="2277"/>
    </w:tblGrid>
    <w:tr w:rsidR="002036DA" w14:paraId="35ED601A" w14:textId="77777777" w:rsidTr="00EB620B">
      <w:trPr>
        <w:cantSplit/>
        <w:trHeight w:val="260"/>
      </w:trPr>
      <w:tc>
        <w:tcPr>
          <w:tcW w:w="316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403E245" w14:textId="1F42F984" w:rsidR="002036DA" w:rsidRDefault="00EB620B" w:rsidP="002036DA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76B0A34" wp14:editId="10735126">
                <wp:extent cx="1621802" cy="567267"/>
                <wp:effectExtent l="0" t="0" r="0" b="4445"/>
                <wp:docPr id="18" name="Picture 18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rutger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481" cy="594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C4630" w14:textId="7BCC49C7" w:rsidR="002036DA" w:rsidRDefault="002036DA" w:rsidP="00401D2E">
          <w:pPr>
            <w:pStyle w:val="SOPName"/>
            <w:spacing w:before="120" w:after="120"/>
            <w:rPr>
              <w:rFonts w:ascii="Arial" w:hAnsi="Arial" w:cs="Arial"/>
            </w:rPr>
          </w:pPr>
          <w:r w:rsidRPr="000F4FFC">
            <w:rPr>
              <w:rStyle w:val="SOPLeader"/>
              <w:rFonts w:ascii="Arial" w:hAnsi="Arial" w:cs="Arial"/>
            </w:rPr>
            <w:t>WORKSHEET: Payments</w:t>
          </w:r>
        </w:p>
      </w:tc>
    </w:tr>
    <w:tr w:rsidR="002036DA" w14:paraId="0C95F911" w14:textId="77777777" w:rsidTr="00EB620B">
      <w:trPr>
        <w:cantSplit/>
        <w:trHeight w:val="288"/>
      </w:trPr>
      <w:tc>
        <w:tcPr>
          <w:tcW w:w="3168" w:type="dxa"/>
          <w:vMerge/>
          <w:tcBorders>
            <w:left w:val="nil"/>
            <w:bottom w:val="nil"/>
          </w:tcBorders>
          <w:vAlign w:val="center"/>
          <w:hideMark/>
        </w:tcPr>
        <w:p w14:paraId="6E8C95EA" w14:textId="77777777" w:rsidR="002036DA" w:rsidRDefault="002036DA" w:rsidP="002036DA">
          <w:pPr>
            <w:rPr>
              <w:rFonts w:ascii="Arial" w:hAnsi="Arial" w:cs="Arial"/>
            </w:rPr>
          </w:pPr>
        </w:p>
      </w:tc>
      <w:tc>
        <w:tcPr>
          <w:tcW w:w="3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260355C" w14:textId="77777777" w:rsidR="002036DA" w:rsidRPr="00EB620B" w:rsidRDefault="002036DA" w:rsidP="002036DA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B620B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EBCDEE" w14:textId="77777777" w:rsidR="002036DA" w:rsidRPr="00EB620B" w:rsidRDefault="002036DA" w:rsidP="002036DA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B620B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448168C" w14:textId="77777777" w:rsidR="002036DA" w:rsidRPr="00EB620B" w:rsidRDefault="002036DA" w:rsidP="002036DA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B620B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2036DA" w14:paraId="6328F3F7" w14:textId="77777777" w:rsidTr="00EB620B">
      <w:trPr>
        <w:cantSplit/>
        <w:trHeight w:val="288"/>
      </w:trPr>
      <w:tc>
        <w:tcPr>
          <w:tcW w:w="3168" w:type="dxa"/>
          <w:vMerge/>
          <w:tcBorders>
            <w:left w:val="nil"/>
            <w:bottom w:val="nil"/>
          </w:tcBorders>
          <w:vAlign w:val="center"/>
          <w:hideMark/>
        </w:tcPr>
        <w:p w14:paraId="7080AC8E" w14:textId="77777777" w:rsidR="002036DA" w:rsidRDefault="002036DA" w:rsidP="002036DA">
          <w:pPr>
            <w:rPr>
              <w:rFonts w:ascii="Arial" w:hAnsi="Arial" w:cs="Arial"/>
            </w:rPr>
          </w:pPr>
        </w:p>
      </w:tc>
      <w:tc>
        <w:tcPr>
          <w:tcW w:w="3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368CA4F" w14:textId="5E9896C2" w:rsidR="002036DA" w:rsidRDefault="002036DA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HRP-316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62602F4" w14:textId="029217BE" w:rsidR="002036DA" w:rsidRDefault="00EB620B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7/1/2020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B4C24B4" w14:textId="77777777" w:rsidR="002036DA" w:rsidRDefault="002036DA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07E0EA8" w14:textId="77777777" w:rsidR="003E6066" w:rsidRPr="00321577" w:rsidRDefault="003E6066" w:rsidP="002036D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TQ2NjU1NTO3NDRQ0lEKTi0uzszPAykwrAUAcYvVbSwAAAA="/>
  </w:docVars>
  <w:rsids>
    <w:rsidRoot w:val="00D841F6"/>
    <w:rsid w:val="00020D2D"/>
    <w:rsid w:val="0005433C"/>
    <w:rsid w:val="00071367"/>
    <w:rsid w:val="00076A61"/>
    <w:rsid w:val="00084456"/>
    <w:rsid w:val="000954C3"/>
    <w:rsid w:val="000E1BF4"/>
    <w:rsid w:val="000F4FFC"/>
    <w:rsid w:val="000F6A7C"/>
    <w:rsid w:val="00116652"/>
    <w:rsid w:val="00126A31"/>
    <w:rsid w:val="00190801"/>
    <w:rsid w:val="00194A43"/>
    <w:rsid w:val="001A4D02"/>
    <w:rsid w:val="001B56EF"/>
    <w:rsid w:val="001C0CAD"/>
    <w:rsid w:val="001E2E87"/>
    <w:rsid w:val="001F4297"/>
    <w:rsid w:val="002036DA"/>
    <w:rsid w:val="00206427"/>
    <w:rsid w:val="002070A9"/>
    <w:rsid w:val="002266CE"/>
    <w:rsid w:val="002342E7"/>
    <w:rsid w:val="00261FD9"/>
    <w:rsid w:val="00262E55"/>
    <w:rsid w:val="0027355B"/>
    <w:rsid w:val="002A0CB8"/>
    <w:rsid w:val="002A6126"/>
    <w:rsid w:val="002C5A18"/>
    <w:rsid w:val="0030441F"/>
    <w:rsid w:val="00305112"/>
    <w:rsid w:val="00314675"/>
    <w:rsid w:val="00314704"/>
    <w:rsid w:val="00321577"/>
    <w:rsid w:val="0032268B"/>
    <w:rsid w:val="00324245"/>
    <w:rsid w:val="003279F1"/>
    <w:rsid w:val="00350C02"/>
    <w:rsid w:val="003763FD"/>
    <w:rsid w:val="00380737"/>
    <w:rsid w:val="00381FA0"/>
    <w:rsid w:val="0039072B"/>
    <w:rsid w:val="0039759C"/>
    <w:rsid w:val="003B2D94"/>
    <w:rsid w:val="003E1AF6"/>
    <w:rsid w:val="003E6066"/>
    <w:rsid w:val="00401D2E"/>
    <w:rsid w:val="004113B3"/>
    <w:rsid w:val="004216B6"/>
    <w:rsid w:val="00436538"/>
    <w:rsid w:val="0043696B"/>
    <w:rsid w:val="00437FF0"/>
    <w:rsid w:val="00443799"/>
    <w:rsid w:val="0046138D"/>
    <w:rsid w:val="00496E49"/>
    <w:rsid w:val="004A32F9"/>
    <w:rsid w:val="004B2D05"/>
    <w:rsid w:val="004D2EA4"/>
    <w:rsid w:val="004D4477"/>
    <w:rsid w:val="004F550E"/>
    <w:rsid w:val="0050126C"/>
    <w:rsid w:val="00507BCC"/>
    <w:rsid w:val="005313FE"/>
    <w:rsid w:val="005361DB"/>
    <w:rsid w:val="005540BA"/>
    <w:rsid w:val="005734BD"/>
    <w:rsid w:val="005A7625"/>
    <w:rsid w:val="005C1210"/>
    <w:rsid w:val="005C336E"/>
    <w:rsid w:val="00610071"/>
    <w:rsid w:val="006120A0"/>
    <w:rsid w:val="00643D84"/>
    <w:rsid w:val="00660C0B"/>
    <w:rsid w:val="00662B81"/>
    <w:rsid w:val="0067488B"/>
    <w:rsid w:val="00685AA5"/>
    <w:rsid w:val="0069117E"/>
    <w:rsid w:val="00691364"/>
    <w:rsid w:val="006A6FD9"/>
    <w:rsid w:val="006A7F27"/>
    <w:rsid w:val="006B3CAC"/>
    <w:rsid w:val="006C4558"/>
    <w:rsid w:val="006E5F6E"/>
    <w:rsid w:val="007148D4"/>
    <w:rsid w:val="00714E0C"/>
    <w:rsid w:val="00735053"/>
    <w:rsid w:val="00744F5E"/>
    <w:rsid w:val="00745F5A"/>
    <w:rsid w:val="00746AEB"/>
    <w:rsid w:val="00755189"/>
    <w:rsid w:val="00765CA8"/>
    <w:rsid w:val="00766292"/>
    <w:rsid w:val="00777362"/>
    <w:rsid w:val="007826B9"/>
    <w:rsid w:val="00784FB9"/>
    <w:rsid w:val="00786465"/>
    <w:rsid w:val="007A3B37"/>
    <w:rsid w:val="007A69E5"/>
    <w:rsid w:val="007A7B03"/>
    <w:rsid w:val="007B0158"/>
    <w:rsid w:val="007C0332"/>
    <w:rsid w:val="007D1CC9"/>
    <w:rsid w:val="007E47DA"/>
    <w:rsid w:val="007F2684"/>
    <w:rsid w:val="0080500D"/>
    <w:rsid w:val="008231AB"/>
    <w:rsid w:val="00837738"/>
    <w:rsid w:val="00873274"/>
    <w:rsid w:val="008920E6"/>
    <w:rsid w:val="00894E98"/>
    <w:rsid w:val="008C6FE3"/>
    <w:rsid w:val="008D4670"/>
    <w:rsid w:val="008F5702"/>
    <w:rsid w:val="009024D2"/>
    <w:rsid w:val="009214F4"/>
    <w:rsid w:val="00926B69"/>
    <w:rsid w:val="00944550"/>
    <w:rsid w:val="00945B17"/>
    <w:rsid w:val="0096159A"/>
    <w:rsid w:val="009A57EE"/>
    <w:rsid w:val="009B4B76"/>
    <w:rsid w:val="009D26C4"/>
    <w:rsid w:val="009E772C"/>
    <w:rsid w:val="00A05445"/>
    <w:rsid w:val="00A203E7"/>
    <w:rsid w:val="00A24165"/>
    <w:rsid w:val="00A36932"/>
    <w:rsid w:val="00A37755"/>
    <w:rsid w:val="00A40400"/>
    <w:rsid w:val="00A5021A"/>
    <w:rsid w:val="00A53183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5DAC"/>
    <w:rsid w:val="00B0703F"/>
    <w:rsid w:val="00B10496"/>
    <w:rsid w:val="00B33CD1"/>
    <w:rsid w:val="00B4278A"/>
    <w:rsid w:val="00B65C73"/>
    <w:rsid w:val="00B86C18"/>
    <w:rsid w:val="00BA00A1"/>
    <w:rsid w:val="00BE0B19"/>
    <w:rsid w:val="00BE54A6"/>
    <w:rsid w:val="00BF24DE"/>
    <w:rsid w:val="00C0319E"/>
    <w:rsid w:val="00C0513C"/>
    <w:rsid w:val="00C56093"/>
    <w:rsid w:val="00C75416"/>
    <w:rsid w:val="00C75CD5"/>
    <w:rsid w:val="00C81949"/>
    <w:rsid w:val="00C823A0"/>
    <w:rsid w:val="00C90286"/>
    <w:rsid w:val="00C93AEA"/>
    <w:rsid w:val="00C95BC7"/>
    <w:rsid w:val="00CB02A3"/>
    <w:rsid w:val="00CB1478"/>
    <w:rsid w:val="00CD045F"/>
    <w:rsid w:val="00CD1433"/>
    <w:rsid w:val="00CD4918"/>
    <w:rsid w:val="00CE0394"/>
    <w:rsid w:val="00CE71F9"/>
    <w:rsid w:val="00D054B6"/>
    <w:rsid w:val="00D10A06"/>
    <w:rsid w:val="00D26A20"/>
    <w:rsid w:val="00D357C2"/>
    <w:rsid w:val="00D37D50"/>
    <w:rsid w:val="00D42A1C"/>
    <w:rsid w:val="00D443C8"/>
    <w:rsid w:val="00D576FF"/>
    <w:rsid w:val="00D718E1"/>
    <w:rsid w:val="00D80AB6"/>
    <w:rsid w:val="00D841F6"/>
    <w:rsid w:val="00DA1AFB"/>
    <w:rsid w:val="00DB2861"/>
    <w:rsid w:val="00DC2F67"/>
    <w:rsid w:val="00DC4F19"/>
    <w:rsid w:val="00DE7DC9"/>
    <w:rsid w:val="00E01CF5"/>
    <w:rsid w:val="00E042C0"/>
    <w:rsid w:val="00E05652"/>
    <w:rsid w:val="00E23FD6"/>
    <w:rsid w:val="00E47188"/>
    <w:rsid w:val="00E70181"/>
    <w:rsid w:val="00E77BA3"/>
    <w:rsid w:val="00E93C36"/>
    <w:rsid w:val="00EA702B"/>
    <w:rsid w:val="00EB5DD4"/>
    <w:rsid w:val="00EB620B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56873"/>
    <w:rsid w:val="00F76D83"/>
    <w:rsid w:val="00F773C1"/>
    <w:rsid w:val="00F81DC5"/>
    <w:rsid w:val="00F8293E"/>
    <w:rsid w:val="00F90C29"/>
    <w:rsid w:val="00F962C9"/>
    <w:rsid w:val="00FD38CB"/>
    <w:rsid w:val="00FD7409"/>
    <w:rsid w:val="00FE0F6D"/>
    <w:rsid w:val="00FE76F6"/>
    <w:rsid w:val="00FE7FE0"/>
    <w:rsid w:val="1BE8B974"/>
    <w:rsid w:val="3FDBF4FF"/>
    <w:rsid w:val="6FBD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7E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7DC8D6A7-49D4-42E4-8877-F43A33999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5E372-5816-42EA-9DD2-41CE0E19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AAF6E-3961-452D-9AF9-A9C2565AF94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6c6f19a-effe-4935-9341-fe92395bebc7"/>
    <ds:schemaRef ds:uri="http://purl.org/dc/terms/"/>
    <ds:schemaRef ds:uri="http://purl.org/dc/dcmitype/"/>
    <ds:schemaRef ds:uri="2ef64c7a-f0db-4be9-a2d1-a81bc310833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2020-06-26T19:38:00Z</dcterms:created>
  <dcterms:modified xsi:type="dcterms:W3CDTF">2021-06-30T18:29:00Z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